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210" w:beforeLines="950" w:after="0" w:line="600" w:lineRule="exact"/>
        <w:ind w:left="0" w:leftChars="0" w:right="0" w:firstLine="0" w:firstLineChars="0"/>
        <w:jc w:val="center"/>
        <w:textAlignment w:val="auto"/>
        <w:outlineLvl w:val="9"/>
        <w:rPr>
          <w:rFonts w:hint="eastAsia" w:ascii="仿宋_GB2312" w:hAnsi="仿宋_GB2312" w:eastAsia="仿宋_GB2312" w:cs="仿宋_GB2312"/>
          <w:sz w:val="32"/>
          <w:szCs w:val="32"/>
        </w:rPr>
      </w:pPr>
      <w:bookmarkStart w:id="2" w:name="_GoBack"/>
      <w:r>
        <w:rPr>
          <w:rFonts w:hint="eastAsia" w:ascii="仿宋_GB2312" w:hAnsi="仿宋_GB2312" w:eastAsia="仿宋_GB2312" w:cs="仿宋_GB2312"/>
          <w:sz w:val="32"/>
          <w:szCs w:val="32"/>
        </w:rPr>
        <w:t>莆秀政</w:t>
      </w:r>
      <w:r>
        <w:rPr>
          <w:rFonts w:hint="eastAsia" w:ascii="仿宋_GB2312" w:hAnsi="仿宋_GB2312" w:eastAsia="仿宋_GB2312" w:cs="仿宋_GB2312"/>
          <w:sz w:val="32"/>
          <w:szCs w:val="32"/>
          <w:lang w:val="en-US" w:eastAsia="zh-CN"/>
        </w:rPr>
        <w:t>办</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号</w:t>
      </w:r>
    </w:p>
    <w:bookmarkEnd w:id="2"/>
    <w:p>
      <w:pPr>
        <w:spacing w:line="600" w:lineRule="exact"/>
        <w:ind w:firstLine="638" w:firstLineChars="100"/>
        <w:jc w:val="center"/>
        <w:rPr>
          <w:rFonts w:hint="eastAsia" w:ascii="方正小标宋简体" w:eastAsia="方正小标宋简体"/>
          <w:color w:val="FF0000"/>
          <w:w w:val="58"/>
          <w:sz w:val="110"/>
          <w:szCs w:val="110"/>
        </w:rPr>
      </w:pPr>
    </w:p>
    <w:p>
      <w:pPr>
        <w:keepNext w:val="0"/>
        <w:keepLines w:val="0"/>
        <w:pageBreakBefore w:val="0"/>
        <w:widowControl w:val="0"/>
        <w:kinsoku/>
        <w:wordWrap/>
        <w:overflowPunct/>
        <w:topLinePunct w:val="0"/>
        <w:autoSpaceDE/>
        <w:autoSpaceDN/>
        <w:bidi w:val="0"/>
        <w:adjustRightInd/>
        <w:snapToGrid/>
        <w:spacing w:before="533" w:beforeLines="120" w:line="640" w:lineRule="exact"/>
        <w:jc w:val="center"/>
        <w:textAlignment w:val="auto"/>
        <w:rPr>
          <w:rFonts w:hint="eastAsia" w:ascii="方正小标宋简体" w:hAnsi="仿宋_GB2312" w:eastAsia="方正小标宋简体" w:cs="仿宋_GB2312"/>
          <w:sz w:val="44"/>
          <w:szCs w:val="44"/>
          <w:lang w:val="en-US" w:eastAsia="zh-CN"/>
        </w:rPr>
      </w:pPr>
      <w:r>
        <w:rPr>
          <w:rFonts w:hint="eastAsia" w:ascii="方正小标宋简体" w:hAnsi="仿宋_GB2312" w:eastAsia="方正小标宋简体" w:cs="仿宋_GB2312"/>
          <w:sz w:val="44"/>
          <w:szCs w:val="44"/>
        </w:rPr>
        <w:t>莆田市秀屿区人民政府</w:t>
      </w:r>
      <w:r>
        <w:rPr>
          <w:rFonts w:hint="eastAsia" w:ascii="方正小标宋简体" w:hAnsi="仿宋_GB2312" w:eastAsia="方正小标宋简体" w:cs="仿宋_GB2312"/>
          <w:sz w:val="44"/>
          <w:szCs w:val="44"/>
          <w:lang w:val="en-US" w:eastAsia="zh-CN"/>
        </w:rPr>
        <w:t>办公室</w:t>
      </w:r>
      <w:r>
        <w:rPr>
          <w:rFonts w:hint="eastAsia" w:ascii="方正小标宋简体" w:hAnsi="仿宋_GB2312" w:eastAsia="方正小标宋简体" w:cs="仿宋_GB2312"/>
          <w:sz w:val="44"/>
          <w:szCs w:val="44"/>
        </w:rPr>
        <w:t>关于</w:t>
      </w:r>
      <w:r>
        <w:rPr>
          <w:rFonts w:hint="eastAsia" w:ascii="方正小标宋简体" w:hAnsi="仿宋_GB2312" w:eastAsia="方正小标宋简体" w:cs="仿宋_GB2312"/>
          <w:sz w:val="44"/>
          <w:szCs w:val="44"/>
          <w:lang w:val="en-US" w:eastAsia="zh-CN"/>
        </w:rPr>
        <w:t>印发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秀屿区农村生活污水</w:t>
      </w:r>
      <w:r>
        <w:rPr>
          <w:rFonts w:hint="eastAsia" w:ascii="方正小标宋简体" w:hAnsi="仿宋_GB2312" w:eastAsia="方正小标宋简体" w:cs="仿宋_GB2312"/>
          <w:sz w:val="44"/>
          <w:szCs w:val="44"/>
          <w:lang w:val="en-US" w:eastAsia="zh-CN"/>
        </w:rPr>
        <w:t>提升</w:t>
      </w:r>
      <w:r>
        <w:rPr>
          <w:rFonts w:hint="eastAsia" w:ascii="方正小标宋简体" w:hAnsi="仿宋_GB2312" w:eastAsia="方正小标宋简体" w:cs="仿宋_GB2312"/>
          <w:sz w:val="44"/>
          <w:szCs w:val="44"/>
        </w:rPr>
        <w:t>治理实施方案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lang w:eastAsia="zh-CN"/>
        </w:rPr>
        <w:t>（</w:t>
      </w:r>
      <w:r>
        <w:rPr>
          <w:rFonts w:hint="eastAsia" w:ascii="方正小标宋简体" w:hAnsi="仿宋_GB2312" w:eastAsia="方正小标宋简体" w:cs="仿宋_GB2312"/>
          <w:sz w:val="44"/>
          <w:szCs w:val="44"/>
          <w:lang w:val="en-US" w:eastAsia="zh-CN"/>
        </w:rPr>
        <w:t>2022-2025年</w:t>
      </w:r>
      <w:r>
        <w:rPr>
          <w:rFonts w:hint="eastAsia" w:ascii="方正小标宋简体" w:hAnsi="仿宋_GB2312" w:eastAsia="方正小标宋简体" w:cs="仿宋_GB2312"/>
          <w:sz w:val="44"/>
          <w:szCs w:val="44"/>
          <w:lang w:eastAsia="zh-CN"/>
        </w:rPr>
        <w:t>）</w:t>
      </w:r>
      <w:r>
        <w:rPr>
          <w:rFonts w:hint="eastAsia" w:ascii="方正小标宋简体" w:hAnsi="仿宋_GB2312" w:eastAsia="方正小标宋简体" w:cs="仿宋_GB2312"/>
          <w:sz w:val="44"/>
          <w:szCs w:val="44"/>
          <w:lang w:val="en-US" w:eastAsia="zh-CN"/>
        </w:rPr>
        <w:t>的通知</w:t>
      </w:r>
    </w:p>
    <w:p>
      <w:pPr>
        <w:spacing w:line="600" w:lineRule="exact"/>
        <w:jc w:val="center"/>
        <w:rPr>
          <w:rFonts w:hint="eastAsia" w:ascii="方正小标宋简体" w:hAnsi="仿宋_GB2312" w:eastAsia="方正小标宋简体" w:cs="仿宋_GB2312"/>
          <w:sz w:val="40"/>
          <w:szCs w:val="40"/>
        </w:rPr>
      </w:pPr>
    </w:p>
    <w:p>
      <w:pPr>
        <w:spacing w:line="600" w:lineRule="exact"/>
        <w:rPr>
          <w:rFonts w:hint="eastAsia" w:ascii="仿宋_GB2312" w:eastAsia="仿宋_GB2312"/>
          <w:sz w:val="32"/>
          <w:szCs w:val="32"/>
        </w:rPr>
      </w:pPr>
      <w:r>
        <w:rPr>
          <w:rFonts w:hint="eastAsia" w:ascii="仿宋_GB2312" w:eastAsia="仿宋_GB2312"/>
          <w:sz w:val="32"/>
          <w:szCs w:val="32"/>
          <w:lang w:val="en-US" w:eastAsia="zh-CN"/>
        </w:rPr>
        <w:t>各镇人民政府，区直有关单位</w:t>
      </w:r>
      <w:r>
        <w:rPr>
          <w:rFonts w:hint="eastAsia" w:ascii="仿宋_GB2312" w:eastAsia="仿宋_GB2312"/>
          <w:sz w:val="32"/>
          <w:szCs w:val="32"/>
        </w:rPr>
        <w:t>：</w:t>
      </w:r>
    </w:p>
    <w:p>
      <w:pPr>
        <w:spacing w:line="6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经区政府研究同意，现将《秀屿区农村生活污水提升治理实施方案（2022-2025年）》印发给你们，请认真贯彻执行。</w:t>
      </w:r>
    </w:p>
    <w:p>
      <w:pPr>
        <w:wordWrap w:val="0"/>
        <w:spacing w:line="600" w:lineRule="exact"/>
        <w:ind w:firstLine="640"/>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w:t>
      </w:r>
    </w:p>
    <w:p>
      <w:pPr>
        <w:wordWrap w:val="0"/>
        <w:spacing w:line="600" w:lineRule="exact"/>
        <w:ind w:firstLine="640"/>
        <w:jc w:val="center"/>
        <w:rPr>
          <w:rFonts w:hint="eastAsia" w:ascii="仿宋_GB2312" w:hAnsi="宋体" w:eastAsia="仿宋_GB2312"/>
          <w:sz w:val="32"/>
          <w:szCs w:val="32"/>
          <w:lang w:val="en-US" w:eastAsia="zh-CN"/>
        </w:rPr>
      </w:pPr>
    </w:p>
    <w:p>
      <w:pPr>
        <w:wordWrap w:val="0"/>
        <w:spacing w:line="600" w:lineRule="exact"/>
        <w:ind w:firstLine="640"/>
        <w:jc w:val="center"/>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莆田市秀屿区人民政府</w:t>
      </w:r>
      <w:r>
        <w:rPr>
          <w:rFonts w:hint="eastAsia" w:ascii="仿宋_GB2312" w:hAnsi="宋体" w:eastAsia="仿宋_GB2312"/>
          <w:sz w:val="32"/>
          <w:szCs w:val="32"/>
          <w:lang w:val="en-US" w:eastAsia="zh-CN"/>
        </w:rPr>
        <w:t>办公室</w:t>
      </w:r>
      <w:r>
        <w:rPr>
          <w:rFonts w:hint="eastAsia"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223" w:beforeLines="50" w:after="90" w:afterLines="20" w:line="600" w:lineRule="exact"/>
        <w:ind w:firstLine="641"/>
        <w:jc w:val="center"/>
        <w:textAlignment w:val="auto"/>
        <w:rPr>
          <w:rFonts w:ascii="仿宋_GB2312" w:hAnsi="宋体" w:eastAsia="仿宋_GB2312"/>
          <w:sz w:val="32"/>
          <w:szCs w:val="32"/>
        </w:rPr>
      </w:pPr>
      <w:r>
        <w:rPr>
          <w:rFonts w:hint="eastAsia" w:ascii="仿宋_GB2312" w:hAnsi="宋体" w:eastAsia="仿宋_GB2312"/>
          <w:sz w:val="32"/>
          <w:szCs w:val="32"/>
        </w:rPr>
        <w:t xml:space="preserve">                  </w:t>
      </w:r>
      <w:r>
        <w:rPr>
          <w:rFonts w:ascii="仿宋_GB2312" w:hAnsi="宋体" w:eastAsia="仿宋_GB2312"/>
          <w:sz w:val="32"/>
          <w:szCs w:val="32"/>
        </w:rPr>
        <w:t>20</w:t>
      </w:r>
      <w:r>
        <w:rPr>
          <w:rFonts w:hint="eastAsia" w:ascii="仿宋_GB2312" w:hAnsi="宋体" w:eastAsia="仿宋_GB2312"/>
          <w:sz w:val="32"/>
          <w:szCs w:val="32"/>
          <w:lang w:val="en-US" w:eastAsia="zh-CN"/>
        </w:rPr>
        <w:t>22</w:t>
      </w:r>
      <w:r>
        <w:rPr>
          <w:rFonts w:ascii="仿宋_GB2312" w:hAnsi="宋体" w:eastAsia="仿宋_GB2312"/>
          <w:sz w:val="32"/>
          <w:szCs w:val="32"/>
        </w:rPr>
        <w:t>年</w:t>
      </w:r>
      <w:r>
        <w:rPr>
          <w:rFonts w:hint="eastAsia" w:ascii="仿宋_GB2312" w:hAnsi="宋体" w:eastAsia="仿宋_GB2312"/>
          <w:sz w:val="32"/>
          <w:szCs w:val="32"/>
          <w:lang w:val="en-US" w:eastAsia="zh-CN"/>
        </w:rPr>
        <w:t>5</w:t>
      </w:r>
      <w:r>
        <w:rPr>
          <w:rFonts w:ascii="仿宋_GB2312" w:hAnsi="宋体" w:eastAsia="仿宋_GB2312"/>
          <w:sz w:val="32"/>
          <w:szCs w:val="32"/>
        </w:rPr>
        <w:t>月</w:t>
      </w:r>
      <w:r>
        <w:rPr>
          <w:rFonts w:hint="eastAsia" w:ascii="仿宋_GB2312" w:hAnsi="宋体" w:eastAsia="仿宋_GB2312"/>
          <w:sz w:val="32"/>
          <w:szCs w:val="32"/>
          <w:lang w:val="en-US" w:eastAsia="zh-CN"/>
        </w:rPr>
        <w:t>6</w:t>
      </w:r>
      <w:r>
        <w:rPr>
          <w:rFonts w:ascii="仿宋_GB2312" w:hAnsi="宋体" w:eastAsia="仿宋_GB2312"/>
          <w:sz w:val="32"/>
          <w:szCs w:val="32"/>
        </w:rPr>
        <w:t>日</w:t>
      </w:r>
    </w:p>
    <w:p>
      <w:pPr>
        <w:spacing w:line="600" w:lineRule="exact"/>
        <w:ind w:firstLine="64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（此件主动公开）</w:t>
      </w:r>
    </w:p>
    <w:p>
      <w:pPr>
        <w:rPr>
          <w:rFonts w:hint="eastAsia"/>
          <w:lang w:val="en-US" w:eastAsia="zh-CN"/>
        </w:rPr>
      </w:pPr>
    </w:p>
    <w:p>
      <w:pPr>
        <w:adjustRightInd w:val="0"/>
        <w:snapToGrid w:val="0"/>
        <w:spacing w:line="590" w:lineRule="exact"/>
        <w:jc w:val="center"/>
        <w:rPr>
          <w:rFonts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秀屿区农村生活污水提升治理实施方案</w:t>
      </w:r>
    </w:p>
    <w:p>
      <w:pPr>
        <w:adjustRightInd w:val="0"/>
        <w:snapToGrid w:val="0"/>
        <w:spacing w:line="590" w:lineRule="exact"/>
        <w:jc w:val="center"/>
        <w:rPr>
          <w:rFonts w:ascii="楷体_GB2312" w:hAnsi="仿宋" w:eastAsia="楷体" w:cs="楷体"/>
          <w:b/>
          <w:bCs/>
          <w:color w:val="000000"/>
          <w:sz w:val="44"/>
          <w:szCs w:val="44"/>
        </w:rPr>
      </w:pPr>
      <w:r>
        <w:rPr>
          <w:rFonts w:hint="eastAsia" w:ascii="方正小标宋简体" w:hAnsi="方正小标宋简体" w:eastAsia="方正小标宋简体" w:cs="方正小标宋简体"/>
          <w:spacing w:val="-10"/>
          <w:sz w:val="44"/>
          <w:szCs w:val="44"/>
        </w:rPr>
        <w:t>（2022-2025年）</w:t>
      </w:r>
    </w:p>
    <w:p>
      <w:pPr>
        <w:adjustRightInd w:val="0"/>
        <w:snapToGrid w:val="0"/>
        <w:spacing w:line="353" w:lineRule="auto"/>
        <w:rPr>
          <w:rFonts w:ascii="仿宋_GB2312" w:hAnsi="Calibri" w:eastAsia="仿宋_GB2312"/>
          <w:szCs w:val="32"/>
        </w:rPr>
      </w:pP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为加快推进我区农村生活污水提升治理，进一步改善农村人居环境，全面推进乡村生态振兴，根据《莆田市农村生活污水提升治理五年行动计划（2021-2025年）》（莆政办〔2021〕74号）精神，结合我区实际，特制定本实施方案。</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spacing w:before="0" w:after="0" w:line="500" w:lineRule="exact"/>
        <w:ind w:left="0" w:leftChars="0" w:right="0" w:firstLine="643"/>
        <w:jc w:val="both"/>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b/>
          <w:sz w:val="32"/>
          <w:szCs w:val="32"/>
        </w:rPr>
        <w:t>（一）指导思想</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以习近平新时代中国特色社会主义思想为指导，深入贯彻落实习近平总书记来闽考察重要讲话精神、</w:t>
      </w:r>
      <w:r>
        <w:rPr>
          <w:rFonts w:hint="eastAsia" w:ascii="仿宋_GB2312" w:hAnsi="仿宋_GB2312" w:eastAsia="仿宋_GB2312" w:cs="仿宋_GB2312"/>
          <w:kern w:val="0"/>
          <w:sz w:val="32"/>
          <w:szCs w:val="32"/>
        </w:rPr>
        <w:t>治理木兰溪重要理念，</w:t>
      </w:r>
      <w:r>
        <w:rPr>
          <w:rFonts w:hint="eastAsia" w:ascii="仿宋_GB2312" w:hAnsi="仿宋_GB2312" w:eastAsia="仿宋_GB2312" w:cs="仿宋_GB2312"/>
          <w:sz w:val="32"/>
          <w:szCs w:val="32"/>
        </w:rPr>
        <w:t>坚持属地主责、多元共治，因地制宜、梯次推进，建管并重、市场运作，分年度推进实施全区农村生活污水提升治理工程</w:t>
      </w:r>
      <w:r>
        <w:rPr>
          <w:rFonts w:hint="eastAsia" w:ascii="仿宋_GB2312" w:hAnsi="仿宋_GB2312" w:eastAsia="仿宋_GB2312" w:cs="仿宋_GB2312"/>
          <w:spacing w:val="-6"/>
          <w:sz w:val="32"/>
          <w:szCs w:val="32"/>
        </w:rPr>
        <w:t>，持续改善农村人居环境，为实现乡村生态振兴奠定坚实基础。</w:t>
      </w:r>
    </w:p>
    <w:p>
      <w:pPr>
        <w:keepNext w:val="0"/>
        <w:keepLines w:val="0"/>
        <w:pageBreakBefore w:val="0"/>
        <w:widowControl w:val="0"/>
        <w:kinsoku/>
        <w:wordWrap/>
        <w:overflowPunct/>
        <w:topLinePunct w:val="0"/>
        <w:autoSpaceDE/>
        <w:autoSpaceDN/>
        <w:bidi w:val="0"/>
        <w:spacing w:before="0" w:after="0" w:line="500" w:lineRule="exact"/>
        <w:ind w:left="0" w:leftChars="0" w:right="0" w:firstLine="643"/>
        <w:jc w:val="both"/>
        <w:textAlignment w:val="auto"/>
        <w:outlineLvl w:val="9"/>
        <w:rPr>
          <w:rFonts w:ascii="楷体_GB2312" w:hAnsi="楷体_GB2312" w:eastAsia="楷体_GB2312" w:cs="楷体_GB2312"/>
          <w:b/>
          <w:sz w:val="32"/>
          <w:szCs w:val="32"/>
        </w:rPr>
      </w:pPr>
      <w:r>
        <w:rPr>
          <w:rFonts w:hint="eastAsia" w:ascii="楷体_GB2312" w:hAnsi="楷体_GB2312" w:eastAsia="楷体_GB2312" w:cs="楷体_GB2312"/>
          <w:b/>
          <w:sz w:val="32"/>
          <w:szCs w:val="32"/>
        </w:rPr>
        <w:t>（二）总体目标</w:t>
      </w:r>
    </w:p>
    <w:p>
      <w:pPr>
        <w:keepNext w:val="0"/>
        <w:keepLines w:val="0"/>
        <w:pageBreakBefore w:val="0"/>
        <w:widowControl w:val="0"/>
        <w:kinsoku/>
        <w:wordWrap/>
        <w:overflowPunct/>
        <w:topLinePunct w:val="0"/>
        <w:autoSpaceDE/>
        <w:autoSpaceDN/>
        <w:bidi w:val="0"/>
        <w:spacing w:before="0" w:after="0" w:line="500" w:lineRule="exact"/>
        <w:ind w:left="0" w:leftChars="0" w:right="0" w:firstLine="64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加强统筹规划，打破城乡界限，至2022年底，基本建立“投、建、管、运”区域一体化机制，全区农村生活污水提升治理村庄数达到15个，积极推进项目打包审批机制、海岛区域适用处理技术工艺等市级试点任务，形成可推广、可复制的试点经验。力争到2025年，全区农村生活污水提升治理率达到75%(总任务、年度任务详见附件1、2);长效管理机制进一步健全，设施稳定运行率达90%。同时，探索建立智能化信息管理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将农村生活污水处理设施信息与城镇污水信息系统，供水智能化信息系统整合，形成城乡供排水信息系统，统一管理平台</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二、重点任务</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我区农村生活污水收集与处理工程采用PPP模式，</w:t>
      </w:r>
      <w:r>
        <w:rPr>
          <w:rFonts w:hint="eastAsia" w:ascii="仿宋_GB2312" w:hAnsi="仿宋_GB2312" w:eastAsia="仿宋_GB2312" w:cs="仿宋_GB2312"/>
          <w:b w:val="0"/>
          <w:bCs/>
          <w:sz w:val="32"/>
          <w:szCs w:val="32"/>
        </w:rPr>
        <w:t>根据PPP项目投资协议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由政府出资人代表</w:t>
      </w:r>
      <w:r>
        <w:rPr>
          <w:rFonts w:hint="eastAsia" w:ascii="仿宋_GB2312" w:hAnsi="仿宋_GB2312" w:eastAsia="仿宋_GB2312" w:cs="仿宋_GB2312"/>
          <w:b w:val="0"/>
          <w:bCs/>
          <w:sz w:val="32"/>
          <w:szCs w:val="32"/>
          <w:lang w:val="en-US" w:eastAsia="zh-CN"/>
        </w:rPr>
        <w:t>莆田市秀屿区</w:t>
      </w:r>
      <w:r>
        <w:rPr>
          <w:rFonts w:hint="eastAsia" w:ascii="仿宋_GB2312" w:hAnsi="仿宋_GB2312" w:eastAsia="仿宋_GB2312" w:cs="仿宋_GB2312"/>
          <w:b w:val="0"/>
          <w:bCs/>
          <w:sz w:val="32"/>
          <w:szCs w:val="32"/>
        </w:rPr>
        <w:t>新城</w:t>
      </w:r>
      <w:r>
        <w:rPr>
          <w:rFonts w:hint="eastAsia" w:ascii="仿宋_GB2312" w:hAnsi="仿宋_GB2312" w:eastAsia="仿宋_GB2312" w:cs="仿宋_GB2312"/>
          <w:b w:val="0"/>
          <w:bCs/>
          <w:sz w:val="32"/>
          <w:szCs w:val="32"/>
          <w:lang w:val="en-US" w:eastAsia="zh-CN"/>
        </w:rPr>
        <w:t>建设有限</w:t>
      </w:r>
      <w:r>
        <w:rPr>
          <w:rFonts w:hint="eastAsia" w:ascii="仿宋_GB2312" w:hAnsi="仿宋_GB2312" w:eastAsia="仿宋_GB2312" w:cs="仿宋_GB2312"/>
          <w:b w:val="0"/>
          <w:bCs/>
          <w:sz w:val="32"/>
          <w:szCs w:val="32"/>
        </w:rPr>
        <w:t>公司和社会资本方中交上海航道局有限公司、中国市政工程西南设计研究总院有限公司合资设立莆田市秀屿区上航水环境投资有限公司（以下简称上航水环境公司），</w:t>
      </w:r>
      <w:r>
        <w:rPr>
          <w:rFonts w:hint="eastAsia" w:ascii="仿宋_GB2312" w:hAnsi="仿宋_GB2312" w:eastAsia="仿宋_GB2312" w:cs="仿宋_GB2312"/>
          <w:b w:val="0"/>
          <w:bCs/>
          <w:sz w:val="32"/>
          <w:szCs w:val="32"/>
          <w:lang w:val="en-US" w:eastAsia="zh-CN"/>
        </w:rPr>
        <w:t>统一牵头负责辖区内农村生活污水治理（含厂站及管网）项目的“投、建、管、运”</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3" w:firstLineChars="200"/>
        <w:jc w:val="both"/>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sz w:val="32"/>
          <w:szCs w:val="32"/>
        </w:rPr>
        <w:t>（一）完善规划设计。</w:t>
      </w:r>
      <w:r>
        <w:rPr>
          <w:rFonts w:hint="eastAsia" w:ascii="仿宋_GB2312" w:hAnsi="仿宋_GB2312" w:eastAsia="仿宋_GB2312" w:cs="仿宋_GB2312"/>
          <w:sz w:val="32"/>
          <w:szCs w:val="32"/>
        </w:rPr>
        <w:t>按照城乡排水一体化规划总体布局，进一步完善农村生活污水治理规划，落实“一区一规划、一镇一方案、一村一设计”。</w:t>
      </w:r>
      <w:r>
        <w:rPr>
          <w:rFonts w:hint="eastAsia" w:ascii="仿宋_GB2312" w:hAnsi="仿宋_GB2312" w:eastAsia="仿宋_GB2312" w:cs="仿宋_GB2312"/>
          <w:spacing w:val="8"/>
          <w:sz w:val="32"/>
          <w:szCs w:val="32"/>
          <w:shd w:val="clear" w:color="auto" w:fill="FFFFFF"/>
        </w:rPr>
        <w:t>各镇要对接</w:t>
      </w:r>
      <w:r>
        <w:rPr>
          <w:rFonts w:hint="eastAsia" w:ascii="仿宋_GB2312" w:hAnsi="仿宋_GB2312" w:eastAsia="仿宋_GB2312" w:cs="仿宋_GB2312"/>
          <w:spacing w:val="8"/>
          <w:sz w:val="32"/>
          <w:szCs w:val="32"/>
          <w:shd w:val="clear" w:color="auto" w:fill="FFFFFF"/>
          <w:lang w:eastAsia="zh-CN"/>
        </w:rPr>
        <w:t>上航水环境公司</w:t>
      </w:r>
      <w:r>
        <w:rPr>
          <w:rFonts w:hint="eastAsia" w:ascii="仿宋_GB2312" w:hAnsi="仿宋_GB2312" w:eastAsia="仿宋_GB2312" w:cs="仿宋_GB2312"/>
          <w:spacing w:val="8"/>
          <w:sz w:val="32"/>
          <w:szCs w:val="32"/>
          <w:shd w:val="clear" w:color="auto" w:fill="FFFFFF"/>
        </w:rPr>
        <w:t>逐户现场踏勘、逐村精细设计，摸清要治理的村常住和户籍人口、现有管网设施建设、标高、接户情况等基础信息，全面掌握主管、支管、入户管建设情况，形成一户一档，做到每村（居）“一图（村庄管网分布图）、一册（村庄住户花名册）、一表（接户情况表）”台账信息完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单位：秀屿生态环境局、区住建局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责任单位：区发改局、区农业农村局、区自然资源局、区卫健局、区水利局、区文旅局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各镇人民政府、</w:t>
      </w:r>
      <w:r>
        <w:rPr>
          <w:rFonts w:hint="eastAsia" w:ascii="仿宋_GB2312" w:hAnsi="仿宋_GB2312" w:eastAsia="仿宋_GB2312" w:cs="仿宋_GB2312"/>
          <w:sz w:val="32"/>
          <w:szCs w:val="32"/>
          <w:lang w:eastAsia="zh-CN"/>
        </w:rPr>
        <w:t>上航水环境公司</w:t>
      </w:r>
      <w:r>
        <w:rPr>
          <w:rFonts w:hint="eastAsia" w:ascii="仿宋_GB2312" w:hAnsi="仿宋_GB2312" w:eastAsia="仿宋_GB2312" w:cs="仿宋_GB2312"/>
          <w:sz w:val="32"/>
          <w:szCs w:val="32"/>
        </w:rPr>
        <w:t>等）</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3" w:firstLineChars="200"/>
        <w:jc w:val="both"/>
        <w:textAlignment w:val="auto"/>
        <w:outlineLvl w:val="9"/>
        <w:rPr>
          <w:rFonts w:ascii="仿宋_GB2312" w:hAnsi="仿宋_GB2312" w:eastAsia="仿宋_GB2312" w:cs="仿宋_GB2312"/>
          <w:b/>
          <w:sz w:val="32"/>
          <w:szCs w:val="32"/>
        </w:rPr>
      </w:pPr>
      <w:r>
        <w:rPr>
          <w:rFonts w:hint="eastAsia" w:ascii="楷体_GB2312" w:hAnsi="楷体_GB2312" w:eastAsia="楷体_GB2312" w:cs="楷体_GB2312"/>
          <w:b/>
          <w:sz w:val="32"/>
          <w:szCs w:val="32"/>
        </w:rPr>
        <w:t>（二）实施精准治污。</w:t>
      </w:r>
      <w:r>
        <w:rPr>
          <w:rFonts w:hint="eastAsia" w:ascii="仿宋_GB2312" w:hAnsi="仿宋_GB2312" w:eastAsia="仿宋_GB2312" w:cs="仿宋_GB2312"/>
          <w:sz w:val="32"/>
          <w:szCs w:val="32"/>
        </w:rPr>
        <w:t>根据地形地貌、人口分布、施工条件等，因地制宜、合理选择“纳厂、集中、分散”等技术路线，优选经济适用、低能耗、易维护、高效率的技术工艺设备，强化资源化利用，实施精准治理。</w:t>
      </w:r>
      <w:r>
        <w:rPr>
          <w:rFonts w:hint="eastAsia" w:ascii="仿宋_GB2312" w:hAnsi="仿宋_GB2312" w:eastAsia="仿宋_GB2312" w:cs="仿宋_GB2312"/>
          <w:color w:val="auto"/>
          <w:sz w:val="32"/>
          <w:szCs w:val="32"/>
        </w:rPr>
        <w:t>市政污水管网已覆盖区域优先采用纳厂即纳入城镇污水处理厂集中处理为主；对于地处偏远、地形复杂及海岛类等难于纳厂、具备允许尾水排放条件的村庄可以建设集中式污水处理设施，但尾水必须做到达标排放或处理达标后排入农田、林地消纳。对于分布零散、不具备施工条件、农田（林地）等资源较为丰富的区域可采用三格式化粪池分散处理后进入农田、山林就地消纳。</w:t>
      </w:r>
      <w:r>
        <w:rPr>
          <w:rFonts w:hint="eastAsia" w:ascii="仿宋_GB2312" w:hAnsi="仿宋_GB2312" w:eastAsia="仿宋_GB2312" w:cs="仿宋_GB2312"/>
          <w:color w:val="auto"/>
          <w:sz w:val="32"/>
          <w:szCs w:val="32"/>
          <w:highlight w:val="none"/>
          <w:lang w:val="en-US" w:eastAsia="zh-CN"/>
        </w:rPr>
        <w:t>区住建局</w:t>
      </w:r>
      <w:r>
        <w:rPr>
          <w:rFonts w:hint="eastAsia" w:ascii="仿宋_GB2312" w:hAnsi="仿宋_GB2312" w:eastAsia="仿宋_GB2312" w:cs="仿宋_GB2312"/>
          <w:color w:val="auto"/>
          <w:sz w:val="32"/>
          <w:szCs w:val="32"/>
        </w:rPr>
        <w:t>要</w:t>
      </w:r>
      <w:r>
        <w:rPr>
          <w:rFonts w:hint="eastAsia" w:ascii="仿宋_GB2312" w:hAnsi="仿宋_GB2312" w:eastAsia="仿宋_GB2312" w:cs="仿宋_GB2312"/>
          <w:color w:val="auto"/>
          <w:sz w:val="32"/>
          <w:szCs w:val="32"/>
          <w:highlight w:val="none"/>
          <w:lang w:val="en-US" w:eastAsia="zh-CN"/>
        </w:rPr>
        <w:t>指导督促上航水环境公司</w:t>
      </w:r>
      <w:r>
        <w:rPr>
          <w:rFonts w:hint="eastAsia" w:ascii="仿宋_GB2312" w:hAnsi="仿宋_GB2312" w:eastAsia="仿宋_GB2312" w:cs="仿宋_GB2312"/>
          <w:color w:val="auto"/>
          <w:sz w:val="32"/>
          <w:szCs w:val="32"/>
        </w:rPr>
        <w:t>以雨污分流为主</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配套管网建设，</w:t>
      </w:r>
      <w:r>
        <w:rPr>
          <w:rFonts w:hint="eastAsia" w:ascii="仿宋_GB2312" w:hAnsi="仿宋_GB2312" w:eastAsia="仿宋_GB2312" w:cs="仿宋_GB2312"/>
          <w:color w:val="auto"/>
          <w:sz w:val="32"/>
          <w:szCs w:val="32"/>
          <w:lang w:val="en-US" w:eastAsia="zh-CN"/>
        </w:rPr>
        <w:t>各镇要同步开展</w:t>
      </w:r>
      <w:r>
        <w:rPr>
          <w:rFonts w:hint="eastAsia" w:ascii="仿宋_GB2312" w:hAnsi="仿宋_GB2312" w:eastAsia="仿宋_GB2312" w:cs="仿宋_GB2312"/>
          <w:color w:val="auto"/>
          <w:sz w:val="32"/>
          <w:szCs w:val="32"/>
        </w:rPr>
        <w:t>厕所化粪池尾水、厨房废水、洗涤废水等“三水”均接提升改造</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按照2025年全面完成的总体目标</w:t>
      </w:r>
      <w:r>
        <w:rPr>
          <w:rFonts w:hint="eastAsia" w:ascii="仿宋_GB2312" w:hAnsi="仿宋_GB2312" w:eastAsia="仿宋_GB2312" w:cs="仿宋_GB2312"/>
          <w:color w:val="auto"/>
          <w:sz w:val="32"/>
          <w:szCs w:val="32"/>
        </w:rPr>
        <w:t>分期分批实施。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单位：秀屿生态环境局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区住建局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区农业农村局、区水利局、区卫健局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各镇人民政府、</w:t>
      </w:r>
      <w:r>
        <w:rPr>
          <w:rFonts w:hint="eastAsia" w:ascii="仿宋_GB2312" w:hAnsi="仿宋_GB2312" w:eastAsia="仿宋_GB2312" w:cs="仿宋_GB2312"/>
          <w:sz w:val="32"/>
          <w:szCs w:val="32"/>
          <w:lang w:eastAsia="zh-CN"/>
        </w:rPr>
        <w:t>上航水环境公司</w:t>
      </w:r>
      <w:r>
        <w:rPr>
          <w:rFonts w:hint="eastAsia" w:ascii="仿宋_GB2312" w:hAnsi="仿宋_GB2312" w:eastAsia="仿宋_GB2312" w:cs="仿宋_GB2312"/>
          <w:sz w:val="32"/>
          <w:szCs w:val="32"/>
        </w:rPr>
        <w:t>等）</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3" w:firstLineChars="200"/>
        <w:jc w:val="both"/>
        <w:textAlignment w:val="auto"/>
        <w:outlineLvl w:val="9"/>
        <w:rPr>
          <w:rFonts w:ascii="仿宋_GB2312" w:hAnsi="仿宋_GB2312" w:eastAsia="仿宋_GB2312" w:cs="仿宋_GB2312"/>
          <w:color w:val="auto"/>
          <w:sz w:val="32"/>
          <w:szCs w:val="32"/>
        </w:rPr>
      </w:pPr>
      <w:r>
        <w:rPr>
          <w:rFonts w:hint="eastAsia" w:ascii="楷体_GB2312" w:hAnsi="楷体_GB2312" w:eastAsia="楷体_GB2312" w:cs="楷体_GB2312"/>
          <w:b/>
          <w:sz w:val="32"/>
          <w:szCs w:val="32"/>
        </w:rPr>
        <w:t>（三）提升治理水平。</w:t>
      </w:r>
      <w:r>
        <w:rPr>
          <w:rFonts w:hint="eastAsia" w:ascii="仿宋_GB2312" w:hAnsi="仿宋_GB2312" w:eastAsia="仿宋_GB2312" w:cs="仿宋_GB2312"/>
          <w:sz w:val="32"/>
          <w:szCs w:val="32"/>
        </w:rPr>
        <w:t>坚持“规划、设计、建设、运维”统筹考虑，与农村道路、河道整治、环境治理等</w:t>
      </w:r>
      <w:r>
        <w:rPr>
          <w:rFonts w:hint="eastAsia" w:ascii="仿宋_GB2312" w:hAnsi="仿宋_GB2312" w:eastAsia="仿宋_GB2312" w:cs="仿宋_GB2312"/>
          <w:color w:val="auto"/>
          <w:sz w:val="32"/>
          <w:szCs w:val="32"/>
        </w:rPr>
        <w:t>乡村基础设施建设项目协同建设，与城镇污水厂网建设、农村户厕改造协同推进。各镇要牵头摸清辖区内已建污水管网及小型集中污水处理设施建设运行情况等背景资料，作为设计依据；区住建局要主动靠前、规范监督，严把工程质量，确保规范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color w:val="auto"/>
          <w:sz w:val="32"/>
          <w:szCs w:val="32"/>
          <w:lang w:eastAsia="zh-CN"/>
        </w:rPr>
        <w:t>各镇要按照《莆田市秀屿区农村生活污水治理PPP项目质量安全管理细则》（莆秀治水〔2020〕2号）要求落实工程质量安全监督责任；</w:t>
      </w:r>
      <w:r>
        <w:rPr>
          <w:rFonts w:hint="eastAsia" w:ascii="仿宋_GB2312" w:hAnsi="仿宋_GB2312" w:eastAsia="仿宋_GB2312" w:cs="仿宋_GB2312"/>
          <w:color w:val="auto"/>
          <w:sz w:val="32"/>
          <w:szCs w:val="32"/>
          <w:lang w:val="en-US" w:eastAsia="zh-CN"/>
        </w:rPr>
        <w:t>各镇及区相关部门要按照试点实施方案（详见附件3）要求，推进项目打包审批机制、海岛区域适用处理技术工艺等市级试点任务，总结形成可复制、可推广的治理经验和模式。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color w:val="auto"/>
          <w:sz w:val="32"/>
          <w:szCs w:val="32"/>
        </w:rPr>
        <w:t>单位：区住建局、秀屿生态环境局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责任单位：区农业农村局、区自然资源局、区水利局、区城管执法局、区交通运输局、区发改局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各镇人民政府、上航水环境公司等）</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3" w:firstLineChars="200"/>
        <w:jc w:val="both"/>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sz w:val="32"/>
          <w:szCs w:val="32"/>
        </w:rPr>
        <w:t>（四）强化日常管理。</w:t>
      </w:r>
      <w:r>
        <w:rPr>
          <w:rFonts w:hint="eastAsia" w:ascii="仿宋_GB2312" w:hAnsi="仿宋_GB2312" w:eastAsia="仿宋_GB2312" w:cs="仿宋_GB2312"/>
          <w:sz w:val="32"/>
          <w:szCs w:val="32"/>
        </w:rPr>
        <w:t>建立健全长效管理机制，明确管理职责，对处理设施及管网进行日常养护、定期巡查，确保污水有效收集、设施正常运行、出水水质达标。探索智慧监管模式，实现远程监控。以污水收集率、出水达标率为重点，实行以效付费，开展成效考核。（</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单位：秀屿生态环境局、区住建局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责任单位：区农业农村局、区发改局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各镇人民政府</w:t>
      </w:r>
      <w:r>
        <w:rPr>
          <w:rFonts w:hint="eastAsia" w:ascii="仿宋_GB2312" w:hAnsi="仿宋_GB2312" w:eastAsia="仿宋_GB2312" w:cs="仿宋_GB2312"/>
          <w:sz w:val="32"/>
          <w:szCs w:val="32"/>
          <w:lang w:eastAsia="zh-CN"/>
        </w:rPr>
        <w:t>、上航水环境公司</w:t>
      </w:r>
      <w:r>
        <w:rPr>
          <w:rFonts w:hint="eastAsia" w:ascii="仿宋_GB2312" w:hAnsi="仿宋_GB2312" w:eastAsia="仿宋_GB2312" w:cs="仿宋_GB2312"/>
          <w:sz w:val="32"/>
          <w:szCs w:val="32"/>
        </w:rPr>
        <w:t>等）</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3" w:firstLineChars="200"/>
        <w:jc w:val="both"/>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sz w:val="32"/>
          <w:szCs w:val="32"/>
        </w:rPr>
        <w:t>（五）推行社会共治。</w:t>
      </w:r>
      <w:r>
        <w:rPr>
          <w:rFonts w:hint="eastAsia" w:ascii="仿宋_GB2312" w:hAnsi="仿宋_GB2312" w:eastAsia="仿宋_GB2312" w:cs="仿宋_GB2312"/>
          <w:sz w:val="32"/>
          <w:szCs w:val="32"/>
        </w:rPr>
        <w:t>充分发挥基层协管力量，将农村污水处理设施及管网的日常巡查纳入综治网格化、村级协管队伍的工作范畴。发挥村级组织力量，推广“民间监理”等经验做法，项目前期应征求村民代表会议意见，项目建设过程应接受群众监督，项目验收阶段有“民间监理”参与并开展群众满意度调查。借助党代表、人大代表、政协委员、工青妇组织、当地乡贤、农村“五老”等力量，</w:t>
      </w:r>
      <w:r>
        <w:rPr>
          <w:rFonts w:hint="eastAsia" w:ascii="仿宋_GB2312" w:hAnsi="仿宋_GB2312" w:eastAsia="仿宋_GB2312" w:cs="仿宋_GB2312"/>
          <w:color w:val="auto"/>
          <w:sz w:val="32"/>
          <w:szCs w:val="32"/>
        </w:rPr>
        <w:t>帮助推动项目落地，以及开展村级质量监管及现场施工协调等工作。</w:t>
      </w:r>
      <w:r>
        <w:rPr>
          <w:rFonts w:hint="eastAsia" w:ascii="仿宋_GB2312" w:hAnsi="仿宋_GB2312" w:eastAsia="仿宋_GB2312" w:cs="仿宋_GB2312"/>
          <w:sz w:val="32"/>
          <w:szCs w:val="32"/>
        </w:rPr>
        <w:t>充分发挥新闻媒体作用，加强政策解读、案例宣传和问题曝光。（</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单位：各镇人民政府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责任单位：秀屿生态环境局、区农业农村局、区住建局</w:t>
      </w:r>
      <w:r>
        <w:rPr>
          <w:rFonts w:hint="eastAsia" w:ascii="仿宋_GB2312" w:hAnsi="仿宋_GB2312" w:eastAsia="仿宋_GB2312" w:cs="仿宋_GB2312"/>
          <w:sz w:val="32"/>
          <w:szCs w:val="32"/>
          <w:lang w:eastAsia="zh-CN"/>
        </w:rPr>
        <w:t>、上航水环境公司</w:t>
      </w:r>
      <w:r>
        <w:rPr>
          <w:rFonts w:hint="eastAsia" w:ascii="仿宋_GB2312" w:hAnsi="仿宋_GB2312" w:eastAsia="仿宋_GB2312" w:cs="仿宋_GB2312"/>
          <w:sz w:val="32"/>
          <w:szCs w:val="32"/>
        </w:rPr>
        <w:t>等）</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三、实施模式</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3" w:firstLineChars="200"/>
        <w:jc w:val="both"/>
        <w:textAlignment w:val="auto"/>
        <w:outlineLvl w:val="9"/>
        <w:rPr>
          <w:rFonts w:ascii="楷体_GB2312" w:hAnsi="楷体_GB2312" w:eastAsia="楷体_GB2312" w:cs="楷体_GB2312"/>
          <w:b/>
          <w:sz w:val="32"/>
          <w:szCs w:val="32"/>
        </w:rPr>
      </w:pPr>
      <w:r>
        <w:rPr>
          <w:rFonts w:hint="eastAsia" w:ascii="楷体_GB2312" w:hAnsi="楷体_GB2312" w:eastAsia="楷体_GB2312" w:cs="楷体_GB2312"/>
          <w:b/>
          <w:sz w:val="32"/>
          <w:szCs w:val="32"/>
        </w:rPr>
        <w:t>（一）稳步推进城乡水务一体化</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3" w:firstLineChars="200"/>
        <w:jc w:val="both"/>
        <w:textAlignment w:val="auto"/>
        <w:outlineLvl w:val="9"/>
        <w:rPr>
          <w:rFonts w:ascii="仿宋_GB2312" w:hAnsi="仿宋_GB2312" w:eastAsia="仿宋_GB2312" w:cs="仿宋_GB2312"/>
          <w:b/>
          <w:bCs/>
          <w:color w:val="0000FF"/>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bCs/>
          <w:sz w:val="32"/>
          <w:szCs w:val="32"/>
        </w:rPr>
        <w:t>成立工作专班。</w:t>
      </w:r>
      <w:r>
        <w:rPr>
          <w:rFonts w:hint="eastAsia" w:ascii="仿宋_GB2312" w:hAnsi="仿宋_GB2312" w:eastAsia="仿宋_GB2312" w:cs="仿宋_GB2312"/>
          <w:sz w:val="32"/>
          <w:szCs w:val="32"/>
        </w:rPr>
        <w:t>实施“一把手”工程，各镇人民政府是组织实施农村生活污水提升治理的责任主体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要成立农村生活污水提升治理工作专班，主要领导任组长，分管领导为副组长，相关负责同志为成员。</w:t>
      </w:r>
      <w:r>
        <w:rPr>
          <w:rFonts w:hint="eastAsia" w:ascii="仿宋_GB2312" w:hAnsi="仿宋_GB2312" w:eastAsia="仿宋_GB2312" w:cs="仿宋_GB2312"/>
          <w:color w:val="auto"/>
          <w:sz w:val="32"/>
          <w:szCs w:val="32"/>
        </w:rPr>
        <w:t>工作专班要加强组织领导，统筹推进辖区内农村生活污水治理，定期听取工作情况汇报，研究解决农村生活生活污水提升治理过程中存在的困难和问题，依法依规做好用地征地、施工建设、质量安全监管等工作。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各镇人民政府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责任单位：秀屿生态环境局、区</w:t>
      </w:r>
      <w:r>
        <w:rPr>
          <w:rFonts w:hint="eastAsia" w:ascii="仿宋_GB2312" w:hAnsi="仿宋_GB2312" w:eastAsia="仿宋_GB2312" w:cs="仿宋_GB2312"/>
          <w:sz w:val="32"/>
          <w:szCs w:val="32"/>
          <w:lang w:val="en-US" w:eastAsia="zh-CN"/>
        </w:rPr>
        <w:t>住建局</w:t>
      </w:r>
      <w:r>
        <w:rPr>
          <w:rFonts w:hint="eastAsia" w:ascii="仿宋_GB2312" w:hAnsi="仿宋_GB2312" w:eastAsia="仿宋_GB2312" w:cs="仿宋_GB2312"/>
          <w:sz w:val="32"/>
          <w:szCs w:val="32"/>
        </w:rPr>
        <w:t>、上航水环境公司等）</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bCs/>
          <w:sz w:val="32"/>
          <w:szCs w:val="32"/>
        </w:rPr>
        <w:t>明确实施主体。</w:t>
      </w:r>
      <w:r>
        <w:rPr>
          <w:rFonts w:hint="eastAsia" w:ascii="仿宋_GB2312" w:hAnsi="仿宋_GB2312" w:eastAsia="仿宋_GB2312" w:cs="仿宋_GB2312"/>
          <w:sz w:val="32"/>
          <w:szCs w:val="32"/>
        </w:rPr>
        <w:t>由上航水环境公司统一牵头负责辖区内农村生活污水治理（含厂站及管网）项目的“投、建、管、运”。（</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单位：区住建局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责任单位：秀屿生态环境局、区发改局、上航水环境公司等）</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3.稳步推进一体化。</w:t>
      </w:r>
      <w:r>
        <w:rPr>
          <w:rFonts w:hint="eastAsia" w:ascii="仿宋_GB2312" w:hAnsi="仿宋_GB2312" w:eastAsia="仿宋_GB2312" w:cs="仿宋_GB2312"/>
          <w:bCs/>
          <w:sz w:val="32"/>
          <w:szCs w:val="32"/>
        </w:rPr>
        <w:t>将城乡</w:t>
      </w:r>
      <w:r>
        <w:rPr>
          <w:rFonts w:hint="eastAsia" w:ascii="仿宋_GB2312" w:hAnsi="仿宋_GB2312" w:eastAsia="仿宋_GB2312" w:cs="仿宋_GB2312"/>
          <w:sz w:val="32"/>
          <w:szCs w:val="32"/>
        </w:rPr>
        <w:t>污水管网和污水处理设施统一规划设计、统一组织实施建设，实现城乡排水一体化。待</w:t>
      </w:r>
      <w:r>
        <w:rPr>
          <w:rFonts w:hint="eastAsia" w:ascii="仿宋_GB2312" w:hAnsi="仿宋_GB2312" w:eastAsia="仿宋_GB2312" w:cs="仿宋_GB2312"/>
          <w:color w:val="auto"/>
          <w:sz w:val="32"/>
          <w:szCs w:val="32"/>
        </w:rPr>
        <w:t>莆田市秀屿区农村生活污水治理及笏石溪河道综合整治PPP项目合同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以下简称PPP项目合同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到期后</w:t>
      </w:r>
      <w:r>
        <w:rPr>
          <w:rFonts w:hint="eastAsia" w:ascii="仿宋_GB2312" w:hAnsi="仿宋_GB2312" w:eastAsia="仿宋_GB2312" w:cs="仿宋_GB2312"/>
          <w:sz w:val="32"/>
          <w:szCs w:val="32"/>
        </w:rPr>
        <w:t>，对辖区内存在污水管网或处理设施产权及经营权属于集体、国有或不明确的，依法依规、分类推进农村生活污水处理设施资产整合，确保城乡污水处理设施正常运行，实现城乡污水处理设施运维一体化。（</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单位：区住建局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责任单位：秀屿生态环境局、区水利局、区发改局、区财政局、各镇人民政府、上航水环境公司等）</w:t>
      </w:r>
    </w:p>
    <w:p>
      <w:pPr>
        <w:pStyle w:val="9"/>
        <w:keepNext w:val="0"/>
        <w:keepLines w:val="0"/>
        <w:pageBreakBefore w:val="0"/>
        <w:widowControl w:val="0"/>
        <w:kinsoku/>
        <w:wordWrap/>
        <w:overflowPunct/>
        <w:topLinePunct w:val="0"/>
        <w:autoSpaceDE/>
        <w:autoSpaceDN/>
        <w:bidi w:val="0"/>
        <w:spacing w:before="0" w:after="0" w:line="500" w:lineRule="exact"/>
        <w:ind w:left="0" w:leftChars="0" w:right="0" w:firstLine="643"/>
        <w:jc w:val="both"/>
        <w:textAlignment w:val="auto"/>
        <w:outlineLvl w:val="9"/>
        <w:rPr>
          <w:rFonts w:ascii="楷体_GB2312" w:hAnsi="楷体_GB2312" w:eastAsia="楷体_GB2312" w:cs="楷体_GB2312"/>
          <w:b/>
          <w:szCs w:val="32"/>
        </w:rPr>
      </w:pPr>
      <w:r>
        <w:rPr>
          <w:rFonts w:hint="eastAsia" w:ascii="楷体_GB2312" w:hAnsi="楷体_GB2312" w:eastAsia="楷体_GB2312" w:cs="楷体_GB2312"/>
          <w:b/>
          <w:szCs w:val="32"/>
        </w:rPr>
        <w:t>（二）加强工程质量管理</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上航水环境公司应把工程质量管理作为第一要务，</w:t>
      </w:r>
      <w:r>
        <w:rPr>
          <w:rFonts w:hint="eastAsia" w:ascii="仿宋_GB2312" w:hAnsi="仿宋_GB2312" w:eastAsia="仿宋_GB2312" w:cs="仿宋_GB2312"/>
          <w:spacing w:val="8"/>
          <w:sz w:val="32"/>
          <w:szCs w:val="32"/>
          <w:shd w:val="clear" w:color="auto" w:fill="FFFFFF"/>
        </w:rPr>
        <w:t>要严把材料关、质量关和验收关，</w:t>
      </w:r>
      <w:r>
        <w:rPr>
          <w:rFonts w:hint="eastAsia" w:ascii="仿宋_GB2312" w:hAnsi="仿宋_GB2312" w:eastAsia="仿宋_GB2312" w:cs="仿宋_GB2312"/>
          <w:sz w:val="32"/>
          <w:szCs w:val="32"/>
        </w:rPr>
        <w:t>全程参与辖区内污水处理设施的建设、改造、运行、维护</w:t>
      </w:r>
      <w:r>
        <w:rPr>
          <w:rFonts w:hint="eastAsia" w:ascii="仿宋_GB2312" w:hAnsi="仿宋_GB2312" w:eastAsia="仿宋_GB2312" w:cs="仿宋_GB2312"/>
          <w:spacing w:val="8"/>
          <w:sz w:val="32"/>
          <w:szCs w:val="32"/>
          <w:shd w:val="clear" w:color="auto" w:fill="FFFFFF"/>
        </w:rPr>
        <w:t>，</w:t>
      </w:r>
      <w:r>
        <w:rPr>
          <w:rFonts w:hint="eastAsia" w:ascii="仿宋_GB2312" w:hAnsi="仿宋_GB2312" w:eastAsia="仿宋_GB2312" w:cs="仿宋_GB2312"/>
          <w:sz w:val="32"/>
          <w:szCs w:val="32"/>
        </w:rPr>
        <w:t>在项目实施过程中，要提高工程勘察设计质量，在工程施工招标文件及合同中充分体现工程质量要求，落实建设单位和勘察、设计、监理、施工五方主体责任</w:t>
      </w:r>
      <w:r>
        <w:rPr>
          <w:rFonts w:hint="eastAsia" w:ascii="仿宋_GB2312" w:hAnsi="仿宋_GB2312" w:eastAsia="仿宋_GB2312" w:cs="仿宋_GB2312"/>
          <w:spacing w:val="8"/>
          <w:sz w:val="32"/>
          <w:szCs w:val="32"/>
          <w:shd w:val="clear" w:color="auto" w:fill="FFFFFF"/>
        </w:rPr>
        <w:t>。同时，区住建局要按照《农村污水管网建设质量管理指南》（莆建质安﹝2019﹞62号）和相关规范标准，加强项目设计、施工、监理、竣工验收等全过程监管，</w:t>
      </w:r>
      <w:r>
        <w:rPr>
          <w:rFonts w:hint="eastAsia" w:ascii="仿宋_GB2312" w:hAnsi="仿宋_GB2312" w:eastAsia="仿宋_GB2312" w:cs="仿宋_GB2312"/>
          <w:color w:val="auto"/>
          <w:spacing w:val="8"/>
          <w:sz w:val="32"/>
          <w:szCs w:val="32"/>
          <w:shd w:val="clear" w:color="auto" w:fill="FFFFFF"/>
        </w:rPr>
        <w:t>并由专业监理和“民间监理”相结合，重点抓好接户、材料、隐蔽工程、终端设施、闭水试验、竣工验收等环节，规范验收机制，确保新建或改造后的处理设施进水正常、出水达标，项目分期分批及时验收。</w:t>
      </w:r>
      <w:r>
        <w:rPr>
          <w:rFonts w:hint="eastAsia" w:ascii="仿宋_GB2312" w:hAnsi="仿宋_GB2312" w:eastAsia="仿宋_GB2312" w:cs="仿宋_GB2312"/>
          <w:sz w:val="32"/>
          <w:szCs w:val="32"/>
        </w:rPr>
        <w:t>严格质量终身责任追究制，在工程设计使用年限内一旦发生重大质量事故，严肃追究责任、依法处理。（</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单位：区住建局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责任单位：秀屿生态环境局、各镇人民政府、上航水环境公司等）</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3" w:firstLineChars="200"/>
        <w:jc w:val="both"/>
        <w:textAlignment w:val="auto"/>
        <w:outlineLvl w:val="9"/>
        <w:rPr>
          <w:rFonts w:ascii="楷体_GB2312" w:hAnsi="楷体_GB2312" w:eastAsia="楷体_GB2312" w:cs="楷体_GB2312"/>
          <w:b/>
          <w:sz w:val="32"/>
          <w:szCs w:val="32"/>
        </w:rPr>
      </w:pPr>
      <w:r>
        <w:rPr>
          <w:rFonts w:hint="eastAsia" w:ascii="楷体_GB2312" w:hAnsi="楷体_GB2312" w:eastAsia="楷体_GB2312" w:cs="楷体_GB2312"/>
          <w:b/>
          <w:sz w:val="32"/>
          <w:szCs w:val="32"/>
        </w:rPr>
        <w:t>（三）拓宽投融资渠道</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1.统筹相关资金。</w:t>
      </w:r>
      <w:r>
        <w:rPr>
          <w:rFonts w:hint="eastAsia" w:ascii="仿宋_GB2312" w:hAnsi="仿宋_GB2312" w:eastAsia="仿宋_GB2312" w:cs="仿宋_GB2312"/>
          <w:sz w:val="32"/>
          <w:szCs w:val="32"/>
        </w:rPr>
        <w:t>积极争取中央、省级农村环境整治资金支持，同时，根据辖区内农村生活污水治理建设、运维所需资金的实际情况，</w:t>
      </w:r>
      <w:r>
        <w:rPr>
          <w:rFonts w:hint="eastAsia" w:ascii="仿宋_GB2312" w:hAnsi="仿宋_GB2312" w:eastAsia="仿宋_GB2312" w:cs="仿宋_GB2312"/>
          <w:color w:val="auto"/>
          <w:sz w:val="32"/>
          <w:szCs w:val="32"/>
        </w:rPr>
        <w:t>每年</w:t>
      </w:r>
      <w:r>
        <w:rPr>
          <w:rFonts w:hint="eastAsia" w:ascii="仿宋_GB2312" w:hAnsi="仿宋_GB2312" w:eastAsia="仿宋_GB2312" w:cs="仿宋_GB2312"/>
          <w:color w:val="auto"/>
          <w:sz w:val="32"/>
          <w:szCs w:val="32"/>
          <w:lang w:val="en-US" w:eastAsia="zh-CN"/>
        </w:rPr>
        <w:t>按一定比例</w:t>
      </w:r>
      <w:r>
        <w:rPr>
          <w:rFonts w:hint="eastAsia" w:ascii="仿宋_GB2312" w:hAnsi="仿宋_GB2312" w:eastAsia="仿宋_GB2312" w:cs="仿宋_GB2312"/>
          <w:color w:val="auto"/>
          <w:sz w:val="32"/>
          <w:szCs w:val="32"/>
        </w:rPr>
        <w:t>统筹安排和使用土地出让收益（在10%以内比例）、乡村振兴试点示范专项资金（按10%比例）、饮用水水源保护区生态补偿金和木兰溪流域生态补偿金（不低于10%）</w:t>
      </w:r>
      <w:r>
        <w:rPr>
          <w:rFonts w:hint="eastAsia" w:ascii="仿宋_GB2312" w:hAnsi="仿宋_GB2312" w:eastAsia="仿宋_GB2312" w:cs="仿宋_GB2312"/>
          <w:sz w:val="32"/>
          <w:szCs w:val="32"/>
        </w:rPr>
        <w:t>等涉农、涉水资金，保障农村生活污水治理设施建设及运维。（</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单位：区财政局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rPr>
        <w:t>区农业农村局、秀屿生态环境局、区自然资源局、区水利局、各镇人民政府等）</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3"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sz w:val="32"/>
          <w:szCs w:val="32"/>
        </w:rPr>
        <w:t>2.拓宽筹资渠道。</w:t>
      </w:r>
      <w:r>
        <w:rPr>
          <w:rFonts w:hint="eastAsia" w:ascii="仿宋_GB2312" w:hAnsi="仿宋_GB2312" w:eastAsia="仿宋_GB2312" w:cs="仿宋_GB2312"/>
          <w:sz w:val="32"/>
          <w:szCs w:val="32"/>
        </w:rPr>
        <w:t>积极探索实践生态环境导向的开发模式（EOD模式），将支持农村生活污水治理项目与收益较好的城镇污水处理、城乡供水、资源产业开发、乡村旅游、现代农业等关联项目或产业一体实施、统筹推进。项目实施过程中，要严防出现政府隐性债务。（</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单位：区财政局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区住建局、秀屿生态环境局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rPr>
        <w:t>区发改局、区农业农村局、区水利局、区文旅局、各镇人民政府、上航水环境公司等）</w:t>
      </w:r>
    </w:p>
    <w:p>
      <w:pPr>
        <w:pStyle w:val="9"/>
        <w:keepNext w:val="0"/>
        <w:keepLines w:val="0"/>
        <w:pageBreakBefore w:val="0"/>
        <w:widowControl w:val="0"/>
        <w:kinsoku/>
        <w:wordWrap/>
        <w:overflowPunct/>
        <w:topLinePunct w:val="0"/>
        <w:autoSpaceDE/>
        <w:autoSpaceDN/>
        <w:bidi w:val="0"/>
        <w:spacing w:before="0" w:after="0" w:line="500" w:lineRule="exact"/>
        <w:ind w:left="0" w:leftChars="0" w:right="0" w:firstLine="643"/>
        <w:jc w:val="both"/>
        <w:textAlignment w:val="auto"/>
        <w:outlineLvl w:val="9"/>
        <w:rPr>
          <w:rFonts w:ascii="楷体_GB2312" w:hAnsi="楷体_GB2312" w:eastAsia="楷体_GB2312" w:cs="楷体_GB2312"/>
          <w:b/>
          <w:bCs/>
          <w:szCs w:val="32"/>
        </w:rPr>
      </w:pPr>
      <w:r>
        <w:rPr>
          <w:rFonts w:hint="eastAsia" w:ascii="楷体_GB2312" w:hAnsi="楷体_GB2312" w:eastAsia="楷体_GB2312" w:cs="楷体_GB2312"/>
          <w:b/>
          <w:bCs/>
          <w:szCs w:val="32"/>
        </w:rPr>
        <w:t>（四）完善长效运维机制</w:t>
      </w:r>
    </w:p>
    <w:p>
      <w:pPr>
        <w:pStyle w:val="18"/>
        <w:keepNext w:val="0"/>
        <w:keepLines w:val="0"/>
        <w:pageBreakBefore w:val="0"/>
        <w:widowControl w:val="0"/>
        <w:tabs>
          <w:tab w:val="left" w:pos="1737"/>
        </w:tabs>
        <w:kinsoku/>
        <w:wordWrap/>
        <w:overflowPunct/>
        <w:topLinePunct w:val="0"/>
        <w:autoSpaceDE/>
        <w:autoSpaceDN/>
        <w:bidi w:val="0"/>
        <w:spacing w:before="0" w:after="0" w:line="500" w:lineRule="exact"/>
        <w:ind w:left="0" w:leftChars="0" w:right="0" w:firstLine="643" w:firstLineChars="200"/>
        <w:jc w:val="both"/>
        <w:textAlignment w:val="auto"/>
        <w:outlineLvl w:val="9"/>
        <w:rPr>
          <w:rFonts w:ascii="仿宋_GB2312" w:hAnsi="仿宋_GB2312" w:eastAsia="仿宋_GB2312" w:cs="仿宋_GB2312"/>
          <w:color w:val="0000FF"/>
          <w:lang w:eastAsia="zh-CN"/>
        </w:rPr>
      </w:pPr>
      <w:r>
        <w:rPr>
          <w:rFonts w:hint="eastAsia" w:ascii="仿宋_GB2312" w:hAnsi="仿宋_GB2312" w:eastAsia="仿宋_GB2312" w:cs="仿宋_GB2312"/>
          <w:b/>
          <w:lang w:val="en-US" w:eastAsia="zh-CN" w:bidi="ar-SA"/>
        </w:rPr>
        <w:t>1.推行使用者付费。</w:t>
      </w:r>
      <w:r>
        <w:rPr>
          <w:rFonts w:hint="eastAsia" w:ascii="仿宋_GB2312" w:hAnsi="仿宋_GB2312" w:eastAsia="仿宋_GB2312" w:cs="仿宋_GB2312"/>
          <w:color w:val="auto"/>
          <w:lang w:val="en-US" w:eastAsia="zh-CN" w:bidi="ar-SA"/>
        </w:rPr>
        <w:t>按照《关于调整莆田市污水处理费征收标准的通知》（莆市价〔2016〕127号）以及PPP项目合同约定，</w:t>
      </w:r>
      <w:r>
        <w:rPr>
          <w:rFonts w:hint="eastAsia" w:ascii="仿宋_GB2312" w:hAnsi="仿宋_GB2312" w:eastAsia="仿宋_GB2312" w:cs="仿宋_GB2312"/>
          <w:bCs/>
          <w:lang w:val="en-US" w:eastAsia="zh-CN" w:bidi="ar-SA"/>
        </w:rPr>
        <w:t>在城乡供水一体化稳步推进的基础上，扩大污水处理费收费范围至全区所有城镇污水处理厂和农村小型污水处理设施服务范围，</w:t>
      </w:r>
      <w:r>
        <w:rPr>
          <w:rFonts w:hint="eastAsia" w:ascii="仿宋_GB2312" w:hAnsi="仿宋_GB2312" w:eastAsia="仿宋_GB2312" w:cs="仿宋_GB2312"/>
          <w:color w:val="auto"/>
          <w:lang w:val="en-US" w:eastAsia="zh-CN" w:bidi="ar-SA"/>
        </w:rPr>
        <w:t>由供水主管部门委托公共供水企业向排水单位和个人征收污水处理费，全额上缴国库，纳入地方政府性基金管理，实行专款专用，</w:t>
      </w:r>
      <w:r>
        <w:rPr>
          <w:rFonts w:hint="eastAsia" w:ascii="仿宋_GB2312" w:hAnsi="仿宋_GB2312" w:eastAsia="仿宋_GB2312" w:cs="仿宋_GB2312"/>
          <w:bCs/>
          <w:lang w:val="en-US" w:eastAsia="zh-CN" w:bidi="ar-SA"/>
        </w:rPr>
        <w:t>保障农村污水处理设施运行费用，逐步实现城乡</w:t>
      </w:r>
      <w:r>
        <w:rPr>
          <w:rFonts w:hint="eastAsia" w:ascii="仿宋_GB2312" w:hAnsi="仿宋_GB2312" w:eastAsia="仿宋_GB2312" w:cs="仿宋_GB2312"/>
          <w:lang w:val="en-US" w:eastAsia="zh-CN" w:bidi="ar-SA"/>
        </w:rPr>
        <w:t>供排水一体化</w:t>
      </w:r>
      <w:bookmarkStart w:id="0" w:name="_Hlk74123043"/>
      <w:r>
        <w:rPr>
          <w:rFonts w:hint="eastAsia" w:ascii="仿宋_GB2312" w:hAnsi="仿宋_GB2312" w:eastAsia="仿宋_GB2312" w:cs="仿宋_GB2312"/>
          <w:lang w:val="en-US" w:eastAsia="zh-CN" w:bidi="ar-SA"/>
        </w:rPr>
        <w:t>。</w:t>
      </w:r>
      <w:bookmarkEnd w:id="0"/>
      <w:r>
        <w:rPr>
          <w:rFonts w:hint="eastAsia" w:ascii="仿宋_GB2312" w:hAnsi="仿宋_GB2312" w:eastAsia="仿宋_GB2312" w:cs="仿宋_GB2312"/>
          <w:lang w:val="en-US" w:eastAsia="zh-CN" w:bidi="ar-SA"/>
        </w:rPr>
        <w:t>建立财政补贴与使用者付费的合理分担机制，对使用者付费一时不能覆盖需支付的项目可用性付费的部分，由区财政局根据支出责任予以补足</w:t>
      </w:r>
      <w:r>
        <w:rPr>
          <w:rFonts w:hint="eastAsia" w:ascii="仿宋_GB2312" w:hAnsi="仿宋_GB2312" w:eastAsia="仿宋_GB2312" w:cs="仿宋_GB2312"/>
          <w:color w:val="auto"/>
          <w:lang w:val="en-US" w:eastAsia="zh-CN" w:bidi="ar-SA"/>
        </w:rPr>
        <w:t>，纳入当年度财政预算。</w:t>
      </w:r>
      <w:r>
        <w:rPr>
          <w:rFonts w:hint="eastAsia" w:ascii="仿宋_GB2312" w:hAnsi="仿宋_GB2312" w:eastAsia="仿宋_GB2312" w:cs="仿宋_GB2312"/>
          <w:lang w:eastAsia="zh-CN"/>
        </w:rPr>
        <w:t>（</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w:t>
      </w:r>
      <w:r>
        <w:rPr>
          <w:rFonts w:hint="eastAsia" w:ascii="仿宋_GB2312" w:hAnsi="仿宋_GB2312" w:eastAsia="仿宋_GB2312" w:cs="仿宋_GB2312"/>
          <w:lang w:val="en-US" w:eastAsia="zh-CN" w:bidi="ar-SA"/>
        </w:rPr>
        <w:t>区发改局、区财政局、秀屿生态环境局、区住建局，</w:t>
      </w:r>
      <w:r>
        <w:rPr>
          <w:rFonts w:hint="eastAsia" w:ascii="仿宋_GB2312" w:hAnsi="仿宋_GB2312" w:eastAsia="仿宋_GB2312" w:cs="仿宋_GB2312"/>
          <w:sz w:val="32"/>
          <w:szCs w:val="32"/>
          <w:lang w:val="en-US" w:eastAsia="zh-CN"/>
        </w:rPr>
        <w:t>责任单位：</w:t>
      </w:r>
      <w:r>
        <w:rPr>
          <w:rFonts w:hint="eastAsia" w:ascii="仿宋_GB2312" w:hAnsi="仿宋_GB2312" w:eastAsia="仿宋_GB2312" w:cs="仿宋_GB2312"/>
          <w:lang w:val="en-US" w:eastAsia="zh-CN" w:bidi="ar-SA"/>
        </w:rPr>
        <w:t>区水利局、区农业农村局、各镇人民政府等</w:t>
      </w:r>
      <w:r>
        <w:rPr>
          <w:rFonts w:hint="eastAsia" w:ascii="仿宋_GB2312" w:hAnsi="仿宋_GB2312" w:eastAsia="仿宋_GB2312" w:cs="仿宋_GB2312"/>
          <w:lang w:eastAsia="zh-CN"/>
        </w:rPr>
        <w:t>）</w:t>
      </w:r>
    </w:p>
    <w:p>
      <w:pPr>
        <w:pStyle w:val="18"/>
        <w:keepNext w:val="0"/>
        <w:keepLines w:val="0"/>
        <w:pageBreakBefore w:val="0"/>
        <w:widowControl w:val="0"/>
        <w:tabs>
          <w:tab w:val="left" w:pos="1737"/>
        </w:tabs>
        <w:kinsoku/>
        <w:wordWrap/>
        <w:overflowPunct/>
        <w:topLinePunct w:val="0"/>
        <w:autoSpaceDE/>
        <w:autoSpaceDN/>
        <w:bidi w:val="0"/>
        <w:spacing w:before="0" w:after="0" w:line="500" w:lineRule="exact"/>
        <w:ind w:left="0" w:leftChars="0" w:right="0" w:firstLine="643" w:firstLineChars="200"/>
        <w:jc w:val="both"/>
        <w:textAlignment w:val="auto"/>
        <w:outlineLvl w:val="9"/>
        <w:rPr>
          <w:rFonts w:ascii="仿宋_GB2312" w:hAnsi="仿宋_GB2312" w:eastAsia="仿宋_GB2312" w:cs="仿宋_GB2312"/>
          <w:color w:val="0000FF"/>
          <w:lang w:eastAsia="zh-CN"/>
        </w:rPr>
      </w:pPr>
      <w:r>
        <w:rPr>
          <w:rFonts w:hint="eastAsia" w:ascii="仿宋_GB2312" w:hAnsi="仿宋_GB2312" w:eastAsia="仿宋_GB2312" w:cs="仿宋_GB2312"/>
          <w:b/>
          <w:bCs/>
          <w:lang w:val="en-US" w:eastAsia="zh-CN" w:bidi="ar-SA"/>
        </w:rPr>
        <w:t>2.推行以效付费机制。</w:t>
      </w:r>
      <w:r>
        <w:rPr>
          <w:rFonts w:hint="eastAsia" w:ascii="仿宋_GB2312" w:hAnsi="仿宋_GB2312" w:eastAsia="仿宋_GB2312" w:cs="仿宋_GB2312"/>
          <w:color w:val="auto"/>
          <w:lang w:val="en-US" w:eastAsia="zh-CN" w:bidi="ar-SA"/>
        </w:rPr>
        <w:t>按照PPP项目合同约定，对照合同注明的绩效指标、考核方法及付费标准等，对上航水环境公司村庄生活污水处理设施管护运维情况进行绩效考评，并按照上级要求和项目实际情况适时调整考评标准，报区政府研究通过后实施，考评结果作为支付项目可用性付费依据。</w:t>
      </w:r>
      <w:r>
        <w:rPr>
          <w:rFonts w:hint="eastAsia" w:ascii="仿宋_GB2312" w:hAnsi="仿宋_GB2312" w:eastAsia="仿宋_GB2312" w:cs="仿宋_GB2312"/>
          <w:lang w:eastAsia="zh-CN"/>
        </w:rPr>
        <w:t>（</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w:t>
      </w:r>
      <w:r>
        <w:rPr>
          <w:rFonts w:hint="eastAsia" w:ascii="仿宋_GB2312" w:hAnsi="仿宋_GB2312" w:eastAsia="仿宋_GB2312" w:cs="仿宋_GB2312"/>
          <w:lang w:val="en-US" w:eastAsia="zh-CN" w:bidi="ar-SA"/>
        </w:rPr>
        <w:t>：区住建局，</w:t>
      </w:r>
      <w:r>
        <w:rPr>
          <w:rFonts w:hint="eastAsia" w:ascii="仿宋_GB2312" w:hAnsi="仿宋_GB2312" w:eastAsia="仿宋_GB2312" w:cs="仿宋_GB2312"/>
          <w:sz w:val="32"/>
          <w:szCs w:val="32"/>
          <w:lang w:val="en-US" w:eastAsia="zh-CN"/>
        </w:rPr>
        <w:t>责任单位：</w:t>
      </w:r>
      <w:r>
        <w:rPr>
          <w:rFonts w:hint="eastAsia" w:ascii="仿宋_GB2312" w:hAnsi="仿宋_GB2312" w:eastAsia="仿宋_GB2312" w:cs="仿宋_GB2312"/>
          <w:lang w:val="en-US" w:eastAsia="zh-CN" w:bidi="ar-SA"/>
        </w:rPr>
        <w:t>秀屿生态环境局、区财政局、区农业农村局、区水利局、区发改局、各镇人民政府等</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四、保障措施</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3" w:firstLineChars="200"/>
        <w:jc w:val="both"/>
        <w:textAlignment w:val="auto"/>
        <w:outlineLvl w:val="9"/>
        <w:rPr>
          <w:rFonts w:ascii="仿宋_GB2312" w:hAnsi="仿宋_GB2312" w:eastAsia="仿宋_GB2312" w:cs="仿宋_GB2312"/>
          <w:color w:val="0000FF"/>
          <w:sz w:val="32"/>
          <w:szCs w:val="32"/>
        </w:rPr>
      </w:pPr>
      <w:r>
        <w:rPr>
          <w:rFonts w:hint="eastAsia" w:ascii="楷体_GB2312" w:hAnsi="楷体_GB2312" w:eastAsia="楷体_GB2312" w:cs="楷体_GB2312"/>
          <w:b/>
          <w:sz w:val="32"/>
          <w:szCs w:val="32"/>
        </w:rPr>
        <w:t>（一）强化责任落实。</w:t>
      </w:r>
      <w:r>
        <w:rPr>
          <w:rFonts w:hint="eastAsia" w:ascii="仿宋_GB2312" w:hAnsi="仿宋_GB2312" w:eastAsia="仿宋_GB2312" w:cs="仿宋_GB2312"/>
          <w:color w:val="auto"/>
          <w:sz w:val="32"/>
          <w:szCs w:val="32"/>
        </w:rPr>
        <w:t>区级成立由区政府主要领导任组长、分管</w:t>
      </w:r>
      <w:r>
        <w:rPr>
          <w:rFonts w:hint="eastAsia" w:ascii="仿宋_GB2312" w:hAnsi="仿宋_GB2312" w:eastAsia="仿宋_GB2312" w:cs="仿宋_GB2312"/>
          <w:color w:val="auto"/>
          <w:sz w:val="32"/>
          <w:szCs w:val="32"/>
          <w:lang w:val="en-US" w:eastAsia="zh-CN"/>
        </w:rPr>
        <w:t>生态、住建、水利的</w:t>
      </w:r>
      <w:r>
        <w:rPr>
          <w:rFonts w:hint="eastAsia" w:ascii="仿宋_GB2312" w:hAnsi="仿宋_GB2312" w:eastAsia="仿宋_GB2312" w:cs="仿宋_GB2312"/>
          <w:color w:val="auto"/>
          <w:sz w:val="32"/>
          <w:szCs w:val="32"/>
        </w:rPr>
        <w:t>副区长任副组长、区直相关部门和各镇主要负责同志为成员的秀屿区PPP项目推进领导小组，定期研究部署推进农村生活污水治理相关工作。领导小组下设办公室，挂靠在区住建局，履行综合协调职能。</w:t>
      </w:r>
      <w:r>
        <w:rPr>
          <w:rFonts w:hint="eastAsia" w:ascii="仿宋_GB2312" w:hAnsi="仿宋_GB2312" w:eastAsia="仿宋_GB2312" w:cs="仿宋_GB2312"/>
          <w:color w:val="auto"/>
          <w:sz w:val="32"/>
          <w:szCs w:val="32"/>
          <w:lang w:val="en-US" w:eastAsia="zh-CN"/>
        </w:rPr>
        <w:t>各镇人民政府也要成立主要领导任组长的工作专班，全程参与辖区内农村生活污水治理管网和设施的设计、建设、验收、管理，做好本辖区农村生活污水治理所需的基本信息提供、问题发现和</w:t>
      </w:r>
      <w:r>
        <w:rPr>
          <w:rFonts w:hint="eastAsia" w:ascii="仿宋_GB2312" w:hAnsi="仿宋_GB2312" w:eastAsia="仿宋_GB2312" w:cs="仿宋_GB2312"/>
          <w:color w:val="auto"/>
          <w:sz w:val="32"/>
          <w:szCs w:val="32"/>
          <w:highlight w:val="none"/>
          <w:lang w:val="en-US" w:eastAsia="zh-CN"/>
        </w:rPr>
        <w:t>协调解决工作</w:t>
      </w:r>
      <w:r>
        <w:rPr>
          <w:rFonts w:hint="eastAsia" w:ascii="仿宋_GB2312" w:hAnsi="仿宋_GB2312" w:eastAsia="仿宋_GB2312" w:cs="仿宋_GB2312"/>
          <w:color w:val="auto"/>
          <w:sz w:val="32"/>
          <w:szCs w:val="32"/>
          <w:lang w:val="en-US" w:eastAsia="zh-CN"/>
        </w:rPr>
        <w:t>，并对运行维护单位开展日常监督。</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3" w:firstLineChars="200"/>
        <w:jc w:val="both"/>
        <w:textAlignment w:val="auto"/>
        <w:outlineLvl w:val="9"/>
        <w:rPr>
          <w:rFonts w:ascii="仿宋_GB2312" w:hAnsi="仿宋_GB2312" w:eastAsia="仿宋_GB2312" w:cs="仿宋_GB2312"/>
          <w:b/>
          <w:sz w:val="32"/>
          <w:szCs w:val="32"/>
        </w:rPr>
      </w:pPr>
      <w:r>
        <w:rPr>
          <w:rFonts w:hint="eastAsia" w:ascii="楷体_GB2312" w:hAnsi="楷体_GB2312" w:eastAsia="楷体_GB2312" w:cs="楷体_GB2312"/>
          <w:b/>
          <w:sz w:val="32"/>
          <w:szCs w:val="32"/>
        </w:rPr>
        <w:t>（二）加强部门协同。</w:t>
      </w:r>
      <w:r>
        <w:rPr>
          <w:rFonts w:hint="eastAsia" w:ascii="仿宋_GB2312" w:hAnsi="仿宋_GB2312" w:eastAsia="仿宋_GB2312" w:cs="仿宋_GB2312"/>
          <w:sz w:val="32"/>
          <w:szCs w:val="32"/>
        </w:rPr>
        <w:t>秀屿生态环境局作为市生态环境局的派出机构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区政府做好指导农村生活污水治理工作并开展监督。区农业农村局统筹协调农村基础设施建设，将农村生活污水治理纳入乡村振兴战略、农村人居环境整治统筹推进实施，会同秀屿生态环境局开展通报约谈。区住建局负责农村生活污水治理项目的技术指导和组织管理，对农村生活污水治理工程的质量和安全进行监管，并督促指导推动城镇（含乡镇）污水处理厂管网向城镇周边村庄延伸覆盖。区卫健局会同区农业农村局指导无法纳管处理的户厕三格化粪池尾水开展资源化利用，不得直接排入水体。区发改局、财政局、自然资源局、水利局、税务局等单位要加大政策、资金、要素保障，落实用电和税收支持政策，同时积极支持实施城乡供排水一体化。</w:t>
      </w:r>
    </w:p>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3" w:firstLineChars="200"/>
        <w:jc w:val="both"/>
        <w:textAlignment w:val="auto"/>
        <w:outlineLvl w:val="9"/>
        <w:rPr>
          <w:rFonts w:ascii="仿宋_GB2312" w:hAnsi="仿宋_GB2312" w:eastAsia="仿宋_GB2312" w:cs="仿宋_GB2312"/>
          <w:sz w:val="32"/>
          <w:szCs w:val="32"/>
        </w:rPr>
      </w:pPr>
      <w:bookmarkStart w:id="1" w:name="_Hlk74128836"/>
      <w:r>
        <w:rPr>
          <w:rFonts w:hint="eastAsia" w:ascii="楷体_GB2312" w:hAnsi="楷体_GB2312" w:eastAsia="楷体_GB2312" w:cs="楷体_GB2312"/>
          <w:b/>
          <w:sz w:val="32"/>
          <w:szCs w:val="32"/>
        </w:rPr>
        <w:t>（三）落实用地保障。</w:t>
      </w:r>
      <w:r>
        <w:rPr>
          <w:rFonts w:hint="eastAsia" w:ascii="仿宋_GB2312" w:hAnsi="仿宋_GB2312" w:eastAsia="仿宋_GB2312" w:cs="仿宋_GB2312"/>
          <w:sz w:val="32"/>
          <w:szCs w:val="32"/>
        </w:rPr>
        <w:t>农村生活污水治理项目依法使用国有建设用地或集体建设用地，在村庄规划中预留3％的建设用地指标，用于农村公共公益设施等项目建设用地需求，并开辟用地审批绿色通道，支持单列审批。（</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单位：区自然资源局）</w:t>
      </w:r>
    </w:p>
    <w:bookmarkEnd w:id="1"/>
    <w:p>
      <w:pPr>
        <w:keepNext w:val="0"/>
        <w:keepLines w:val="0"/>
        <w:pageBreakBefore w:val="0"/>
        <w:widowControl w:val="0"/>
        <w:kinsoku/>
        <w:wordWrap/>
        <w:overflowPunct/>
        <w:topLinePunct w:val="0"/>
        <w:autoSpaceDE/>
        <w:autoSpaceDN/>
        <w:bidi w:val="0"/>
        <w:adjustRightInd w:val="0"/>
        <w:snapToGrid w:val="0"/>
        <w:spacing w:before="0" w:after="0" w:line="500" w:lineRule="exact"/>
        <w:ind w:left="0" w:leftChars="0" w:right="0" w:firstLine="643" w:firstLineChars="200"/>
        <w:jc w:val="both"/>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sz w:val="32"/>
          <w:szCs w:val="32"/>
        </w:rPr>
        <w:t>（四）严格考核奖惩。</w:t>
      </w:r>
      <w:r>
        <w:rPr>
          <w:rFonts w:hint="eastAsia" w:ascii="仿宋_GB2312" w:hAnsi="仿宋_GB2312" w:eastAsia="仿宋_GB2312" w:cs="仿宋_GB2312"/>
          <w:sz w:val="32"/>
          <w:szCs w:val="32"/>
          <w:lang w:val="en-US" w:eastAsia="zh-CN"/>
        </w:rPr>
        <w:t>区级</w:t>
      </w:r>
      <w:r>
        <w:rPr>
          <w:rFonts w:hint="eastAsia" w:ascii="仿宋_GB2312" w:hAnsi="仿宋_GB2312" w:eastAsia="仿宋_GB2312" w:cs="仿宋_GB2312"/>
          <w:sz w:val="32"/>
          <w:szCs w:val="32"/>
        </w:rPr>
        <w:t>按月对各年度任务常态化开展调度、督办，并在区政府生态环境保护联席会议上予以通报，提高农村生活污水治理工作在政府年度绩效中的分值占比。同时，列为乡村振兴、农村人居环境整治、河湖长制考核、绿盈乡村创建约束性指标。对工作推进不力的，实行通报约谈；对虚假治理、表面治理、敷衍治理的，严肃问责，依法依规追究相关责任人责任。对治理成效显著、工作业绩突出的，优先评为乡村振兴先进单位和先进个人。（</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单位：秀屿生态环境局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区住建局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rPr>
        <w:t>区农业农村局、区水利局、区河长办、区效能办等）</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黑体" w:hAnsi="Calibri" w:eastAsia="黑体"/>
          <w:sz w:val="30"/>
          <w:szCs w:val="30"/>
        </w:rPr>
      </w:pP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附件：1.秀屿区农村生活污水提升治理任务及分类汇总表</w:t>
      </w:r>
    </w:p>
    <w:p>
      <w:pPr>
        <w:keepNext w:val="0"/>
        <w:keepLines w:val="0"/>
        <w:pageBreakBefore w:val="0"/>
        <w:widowControl w:val="0"/>
        <w:numPr>
          <w:ilvl w:val="0"/>
          <w:numId w:val="1"/>
        </w:numPr>
        <w:kinsoku/>
        <w:wordWrap/>
        <w:overflowPunct/>
        <w:topLinePunct w:val="0"/>
        <w:autoSpaceDE/>
        <w:autoSpaceDN/>
        <w:bidi w:val="0"/>
        <w:adjustRightInd w:val="0"/>
        <w:snapToGrid w:val="0"/>
        <w:spacing w:line="500" w:lineRule="exact"/>
        <w:ind w:firstLine="1600" w:firstLineChars="5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秀屿区农村生活污水提升治理2021—2025年度任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务分解表</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1600" w:firstLineChars="5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3.秀屿区农村生活污水提升治理试点实施方案</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1600" w:firstLineChars="500"/>
        <w:textAlignment w:val="auto"/>
        <w:outlineLvl w:val="9"/>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4.秀</w:t>
      </w:r>
      <w:r>
        <w:rPr>
          <w:rFonts w:hint="eastAsia" w:ascii="仿宋_GB2312" w:hAnsi="仿宋_GB2312" w:eastAsia="仿宋_GB2312" w:cs="仿宋_GB2312"/>
          <w:spacing w:val="-6"/>
          <w:kern w:val="2"/>
          <w:sz w:val="32"/>
          <w:szCs w:val="32"/>
          <w:lang w:val="en-US" w:eastAsia="zh-CN" w:bidi="ar-SA"/>
        </w:rPr>
        <w:t>屿区农村生活污水提升治理重点任务细化分解表</w:t>
      </w:r>
    </w:p>
    <w:p>
      <w:pPr>
        <w:keepNext w:val="0"/>
        <w:keepLines w:val="0"/>
        <w:pageBreakBefore w:val="0"/>
        <w:widowControl w:val="0"/>
        <w:kinsoku/>
        <w:wordWrap/>
        <w:overflowPunct/>
        <w:topLinePunct w:val="0"/>
        <w:autoSpaceDE/>
        <w:autoSpaceDN/>
        <w:bidi w:val="0"/>
        <w:adjustRightInd w:val="0"/>
        <w:snapToGrid w:val="0"/>
        <w:spacing w:line="500" w:lineRule="exact"/>
        <w:ind w:firstLine="1600" w:firstLineChars="5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5.秀屿区农村生活污水治理改革措施清单</w:t>
      </w:r>
    </w:p>
    <w:p>
      <w:pPr>
        <w:adjustRightInd w:val="0"/>
        <w:snapToGrid w:val="0"/>
        <w:spacing w:line="300" w:lineRule="auto"/>
        <w:rPr>
          <w:rFonts w:hint="eastAsia" w:ascii="黑体" w:hAnsi="Calibri" w:eastAsia="黑体"/>
          <w:sz w:val="30"/>
          <w:szCs w:val="30"/>
        </w:rPr>
      </w:pPr>
    </w:p>
    <w:p>
      <w:pPr>
        <w:adjustRightInd w:val="0"/>
        <w:snapToGrid w:val="0"/>
        <w:spacing w:line="300" w:lineRule="auto"/>
        <w:rPr>
          <w:rFonts w:hint="eastAsia" w:ascii="黑体" w:hAnsi="Calibri" w:eastAsia="黑体"/>
          <w:sz w:val="30"/>
          <w:szCs w:val="30"/>
        </w:rPr>
      </w:pPr>
    </w:p>
    <w:p>
      <w:pPr>
        <w:adjustRightInd w:val="0"/>
        <w:snapToGrid w:val="0"/>
        <w:spacing w:line="300" w:lineRule="auto"/>
        <w:rPr>
          <w:rFonts w:hint="eastAsia" w:ascii="黑体" w:hAnsi="Calibri" w:eastAsia="黑体"/>
          <w:sz w:val="30"/>
          <w:szCs w:val="30"/>
        </w:rPr>
      </w:pPr>
    </w:p>
    <w:p>
      <w:pPr>
        <w:adjustRightInd w:val="0"/>
        <w:snapToGrid w:val="0"/>
        <w:spacing w:line="300" w:lineRule="auto"/>
        <w:rPr>
          <w:rFonts w:hint="eastAsia" w:ascii="黑体" w:hAnsi="Calibri" w:eastAsia="黑体"/>
          <w:sz w:val="30"/>
          <w:szCs w:val="30"/>
        </w:rPr>
      </w:pPr>
    </w:p>
    <w:p>
      <w:pPr>
        <w:adjustRightInd w:val="0"/>
        <w:snapToGrid w:val="0"/>
        <w:spacing w:line="300" w:lineRule="auto"/>
        <w:rPr>
          <w:rFonts w:hint="eastAsia" w:ascii="黑体" w:hAnsi="Calibri" w:eastAsia="黑体"/>
          <w:sz w:val="30"/>
          <w:szCs w:val="30"/>
        </w:rPr>
      </w:pPr>
    </w:p>
    <w:p>
      <w:pPr>
        <w:adjustRightInd w:val="0"/>
        <w:snapToGrid w:val="0"/>
        <w:spacing w:line="300" w:lineRule="auto"/>
        <w:rPr>
          <w:rFonts w:ascii="黑体" w:hAnsi="Calibri" w:eastAsia="黑体"/>
          <w:sz w:val="30"/>
          <w:szCs w:val="30"/>
        </w:rPr>
      </w:pPr>
      <w:r>
        <w:rPr>
          <w:rFonts w:hint="eastAsia" w:ascii="黑体" w:hAnsi="Calibri" w:eastAsia="黑体"/>
          <w:sz w:val="30"/>
          <w:szCs w:val="30"/>
        </w:rPr>
        <w:br w:type="page"/>
      </w:r>
      <w:r>
        <w:rPr>
          <w:rFonts w:hint="eastAsia" w:ascii="黑体" w:hAnsi="Calibri" w:eastAsia="黑体"/>
          <w:sz w:val="30"/>
          <w:szCs w:val="30"/>
        </w:rPr>
        <w:t>附件1</w:t>
      </w:r>
    </w:p>
    <w:p>
      <w:pPr>
        <w:adjustRightInd w:val="0"/>
        <w:snapToGrid w:val="0"/>
        <w:spacing w:line="300" w:lineRule="auto"/>
        <w:rPr>
          <w:rFonts w:eastAsia="黑体"/>
          <w:sz w:val="31"/>
          <w:szCs w:val="31"/>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textAlignment w:val="auto"/>
        <w:rPr>
          <w:rFonts w:hint="eastAsia" w:ascii="方正小标宋简体" w:hAnsi="方正小标宋简体" w:eastAsia="方正小标宋简体" w:cs="方正小标宋简体"/>
          <w:spacing w:val="-17"/>
          <w:sz w:val="44"/>
          <w:szCs w:val="44"/>
        </w:rPr>
      </w:pPr>
      <w:r>
        <w:rPr>
          <w:rFonts w:hint="eastAsia" w:ascii="方正小标宋简体" w:hAnsi="方正小标宋简体" w:eastAsia="方正小标宋简体" w:cs="方正小标宋简体"/>
          <w:spacing w:val="-17"/>
          <w:sz w:val="44"/>
          <w:szCs w:val="44"/>
          <w:lang w:val="en-US" w:eastAsia="zh-CN"/>
        </w:rPr>
        <w:t>秀屿区</w:t>
      </w:r>
      <w:r>
        <w:rPr>
          <w:rFonts w:hint="eastAsia" w:ascii="方正小标宋简体" w:hAnsi="方正小标宋简体" w:eastAsia="方正小标宋简体" w:cs="方正小标宋简体"/>
          <w:spacing w:val="-17"/>
          <w:sz w:val="44"/>
          <w:szCs w:val="44"/>
        </w:rPr>
        <w:t>农村生活污水提升治理任务及分类汇总表</w:t>
      </w:r>
    </w:p>
    <w:tbl>
      <w:tblPr>
        <w:tblStyle w:val="10"/>
        <w:tblW w:w="9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0"/>
        <w:gridCol w:w="1300"/>
        <w:gridCol w:w="1850"/>
        <w:gridCol w:w="1988"/>
        <w:gridCol w:w="1161"/>
        <w:gridCol w:w="1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blHeader/>
          <w:jc w:val="center"/>
        </w:trPr>
        <w:tc>
          <w:tcPr>
            <w:tcW w:w="1350" w:type="dxa"/>
            <w:vMerge w:val="restart"/>
            <w:tcBorders>
              <w:top w:val="single" w:color="auto" w:sz="4" w:space="0"/>
              <w:left w:val="single" w:color="auto" w:sz="4" w:space="0"/>
              <w:bottom w:val="nil"/>
              <w:right w:val="single" w:color="auto" w:sz="4" w:space="0"/>
            </w:tcBorders>
            <w:vAlign w:val="center"/>
          </w:tcPr>
          <w:p>
            <w:pPr>
              <w:adjustRightInd w:val="0"/>
              <w:snapToGrid w:val="0"/>
              <w:jc w:val="center"/>
              <w:rPr>
                <w:rFonts w:eastAsia="黑体"/>
                <w:sz w:val="24"/>
                <w:szCs w:val="24"/>
              </w:rPr>
            </w:pPr>
            <w:r>
              <w:rPr>
                <w:rFonts w:hint="eastAsia" w:ascii="黑体" w:eastAsia="黑体" w:cs="黑体"/>
                <w:sz w:val="24"/>
                <w:szCs w:val="24"/>
              </w:rPr>
              <w:t>乡镇</w:t>
            </w:r>
          </w:p>
        </w:tc>
        <w:tc>
          <w:tcPr>
            <w:tcW w:w="1300" w:type="dxa"/>
            <w:vMerge w:val="restart"/>
            <w:tcBorders>
              <w:top w:val="single" w:color="auto" w:sz="4" w:space="0"/>
              <w:left w:val="nil"/>
              <w:bottom w:val="nil"/>
              <w:right w:val="single" w:color="auto" w:sz="4" w:space="0"/>
            </w:tcBorders>
            <w:vAlign w:val="center"/>
          </w:tcPr>
          <w:p>
            <w:pPr>
              <w:adjustRightInd w:val="0"/>
              <w:snapToGrid w:val="0"/>
              <w:jc w:val="center"/>
              <w:rPr>
                <w:rFonts w:eastAsia="黑体"/>
                <w:sz w:val="24"/>
                <w:szCs w:val="24"/>
              </w:rPr>
            </w:pPr>
            <w:r>
              <w:rPr>
                <w:rFonts w:eastAsia="黑体"/>
                <w:sz w:val="24"/>
                <w:szCs w:val="24"/>
              </w:rPr>
              <w:t>总行政村数量</w:t>
            </w:r>
          </w:p>
        </w:tc>
        <w:tc>
          <w:tcPr>
            <w:tcW w:w="6362" w:type="dxa"/>
            <w:gridSpan w:val="4"/>
            <w:tcBorders>
              <w:top w:val="single" w:color="auto" w:sz="4" w:space="0"/>
              <w:left w:val="nil"/>
              <w:bottom w:val="single" w:color="auto" w:sz="4" w:space="0"/>
              <w:right w:val="single" w:color="auto" w:sz="4" w:space="0"/>
            </w:tcBorders>
            <w:vAlign w:val="center"/>
          </w:tcPr>
          <w:p>
            <w:pPr>
              <w:adjustRightInd w:val="0"/>
              <w:snapToGrid w:val="0"/>
              <w:jc w:val="center"/>
              <w:rPr>
                <w:rFonts w:eastAsia="黑体"/>
                <w:sz w:val="24"/>
                <w:szCs w:val="24"/>
              </w:rPr>
            </w:pPr>
            <w:r>
              <w:rPr>
                <w:rFonts w:hint="eastAsia" w:eastAsia="黑体"/>
                <w:sz w:val="24"/>
                <w:szCs w:val="24"/>
              </w:rPr>
              <w:t>总任务数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blHeader/>
          <w:jc w:val="center"/>
        </w:trPr>
        <w:tc>
          <w:tcPr>
            <w:tcW w:w="1350" w:type="dxa"/>
            <w:vMerge w:val="continue"/>
            <w:tcBorders>
              <w:top w:val="nil"/>
              <w:left w:val="single" w:color="auto" w:sz="4" w:space="0"/>
              <w:bottom w:val="nil"/>
              <w:right w:val="single" w:color="auto" w:sz="4" w:space="0"/>
            </w:tcBorders>
            <w:vAlign w:val="center"/>
          </w:tcPr>
          <w:p>
            <w:pPr>
              <w:rPr>
                <w:rFonts w:ascii="Calibri" w:hAnsi="Calibri"/>
                <w:szCs w:val="24"/>
              </w:rPr>
            </w:pPr>
          </w:p>
        </w:tc>
        <w:tc>
          <w:tcPr>
            <w:tcW w:w="1300" w:type="dxa"/>
            <w:vMerge w:val="continue"/>
            <w:tcBorders>
              <w:top w:val="nil"/>
              <w:left w:val="nil"/>
              <w:bottom w:val="nil"/>
              <w:right w:val="single" w:color="auto" w:sz="4" w:space="0"/>
            </w:tcBorders>
            <w:vAlign w:val="center"/>
          </w:tcPr>
          <w:p>
            <w:pPr>
              <w:rPr>
                <w:rFonts w:ascii="Calibri" w:hAnsi="Calibri"/>
                <w:szCs w:val="24"/>
              </w:rPr>
            </w:pPr>
          </w:p>
        </w:tc>
        <w:tc>
          <w:tcPr>
            <w:tcW w:w="3838"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eastAsia="黑体"/>
                <w:sz w:val="24"/>
                <w:szCs w:val="24"/>
              </w:rPr>
            </w:pPr>
            <w:r>
              <w:rPr>
                <w:rFonts w:eastAsia="黑体"/>
                <w:sz w:val="24"/>
                <w:szCs w:val="24"/>
              </w:rPr>
              <w:t>治理类村庄数</w:t>
            </w:r>
          </w:p>
        </w:tc>
        <w:tc>
          <w:tcPr>
            <w:tcW w:w="1161" w:type="dxa"/>
            <w:vMerge w:val="restart"/>
            <w:tcBorders>
              <w:top w:val="single" w:color="auto" w:sz="4" w:space="0"/>
              <w:left w:val="nil"/>
              <w:bottom w:val="nil"/>
              <w:right w:val="single" w:color="auto" w:sz="4" w:space="0"/>
            </w:tcBorders>
            <w:vAlign w:val="center"/>
          </w:tcPr>
          <w:p>
            <w:pPr>
              <w:adjustRightInd w:val="0"/>
              <w:snapToGrid w:val="0"/>
              <w:jc w:val="center"/>
              <w:rPr>
                <w:rFonts w:eastAsia="黑体"/>
                <w:sz w:val="24"/>
                <w:szCs w:val="24"/>
              </w:rPr>
            </w:pPr>
            <w:r>
              <w:rPr>
                <w:rFonts w:eastAsia="黑体"/>
                <w:sz w:val="24"/>
                <w:szCs w:val="24"/>
              </w:rPr>
              <w:t>管控类村庄数</w:t>
            </w:r>
          </w:p>
        </w:tc>
        <w:tc>
          <w:tcPr>
            <w:tcW w:w="1363" w:type="dxa"/>
            <w:vMerge w:val="restart"/>
            <w:tcBorders>
              <w:top w:val="single" w:color="auto" w:sz="4" w:space="0"/>
              <w:left w:val="nil"/>
              <w:bottom w:val="nil"/>
              <w:right w:val="single" w:color="auto" w:sz="4" w:space="0"/>
            </w:tcBorders>
            <w:vAlign w:val="center"/>
          </w:tcPr>
          <w:p>
            <w:pPr>
              <w:adjustRightInd w:val="0"/>
              <w:snapToGrid w:val="0"/>
              <w:jc w:val="center"/>
              <w:rPr>
                <w:rFonts w:eastAsia="黑体"/>
                <w:sz w:val="24"/>
                <w:szCs w:val="24"/>
              </w:rPr>
            </w:pPr>
            <w:r>
              <w:rPr>
                <w:rFonts w:hint="eastAsia" w:eastAsia="黑体"/>
                <w:sz w:val="24"/>
                <w:szCs w:val="24"/>
              </w:rPr>
              <w:t>其中：七类重点</w:t>
            </w:r>
            <w:r>
              <w:rPr>
                <w:rFonts w:eastAsia="黑体"/>
                <w:sz w:val="24"/>
                <w:szCs w:val="24"/>
              </w:rPr>
              <w:t>村庄数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blHeader/>
          <w:jc w:val="center"/>
        </w:trPr>
        <w:tc>
          <w:tcPr>
            <w:tcW w:w="1350" w:type="dxa"/>
            <w:vMerge w:val="continue"/>
            <w:tcBorders>
              <w:top w:val="nil"/>
              <w:left w:val="single" w:color="auto" w:sz="4" w:space="0"/>
              <w:bottom w:val="single" w:color="auto" w:sz="4" w:space="0"/>
              <w:right w:val="single" w:color="auto" w:sz="4" w:space="0"/>
            </w:tcBorders>
            <w:vAlign w:val="center"/>
          </w:tcPr>
          <w:p>
            <w:pPr>
              <w:rPr>
                <w:rFonts w:ascii="Calibri" w:hAnsi="Calibri"/>
                <w:szCs w:val="24"/>
              </w:rPr>
            </w:pPr>
          </w:p>
        </w:tc>
        <w:tc>
          <w:tcPr>
            <w:tcW w:w="1300" w:type="dxa"/>
            <w:vMerge w:val="continue"/>
            <w:tcBorders>
              <w:top w:val="nil"/>
              <w:left w:val="nil"/>
              <w:bottom w:val="single" w:color="auto" w:sz="4" w:space="0"/>
              <w:right w:val="single" w:color="auto" w:sz="4" w:space="0"/>
            </w:tcBorders>
            <w:vAlign w:val="center"/>
          </w:tcPr>
          <w:p>
            <w:pPr>
              <w:rPr>
                <w:rFonts w:ascii="Calibri" w:hAnsi="Calibri"/>
                <w:szCs w:val="24"/>
              </w:rPr>
            </w:pPr>
          </w:p>
        </w:tc>
        <w:tc>
          <w:tcPr>
            <w:tcW w:w="1850" w:type="dxa"/>
            <w:tcBorders>
              <w:top w:val="nil"/>
              <w:left w:val="nil"/>
              <w:bottom w:val="single" w:color="auto" w:sz="4" w:space="0"/>
              <w:right w:val="single" w:color="auto" w:sz="4" w:space="0"/>
            </w:tcBorders>
            <w:vAlign w:val="center"/>
          </w:tcPr>
          <w:p>
            <w:pPr>
              <w:adjustRightInd w:val="0"/>
              <w:snapToGrid w:val="0"/>
              <w:jc w:val="center"/>
              <w:rPr>
                <w:rFonts w:ascii="黑体" w:hAnsi="Calibri" w:eastAsia="黑体" w:cs="黑体"/>
                <w:sz w:val="24"/>
                <w:szCs w:val="24"/>
              </w:rPr>
            </w:pPr>
            <w:r>
              <w:rPr>
                <w:rFonts w:hint="eastAsia" w:ascii="黑体" w:hAnsi="Calibri" w:eastAsia="黑体" w:cs="黑体"/>
                <w:sz w:val="24"/>
                <w:szCs w:val="24"/>
              </w:rPr>
              <w:t>纳入城镇污水管网村庄数</w:t>
            </w:r>
          </w:p>
        </w:tc>
        <w:tc>
          <w:tcPr>
            <w:tcW w:w="1988" w:type="dxa"/>
            <w:tcBorders>
              <w:top w:val="nil"/>
              <w:left w:val="nil"/>
              <w:bottom w:val="single" w:color="auto" w:sz="4" w:space="0"/>
              <w:right w:val="single" w:color="auto" w:sz="4" w:space="0"/>
            </w:tcBorders>
            <w:vAlign w:val="center"/>
          </w:tcPr>
          <w:p>
            <w:pPr>
              <w:adjustRightInd w:val="0"/>
              <w:snapToGrid w:val="0"/>
              <w:jc w:val="center"/>
              <w:rPr>
                <w:rFonts w:ascii="黑体" w:hAnsi="Calibri" w:eastAsia="黑体" w:cs="黑体"/>
                <w:sz w:val="24"/>
                <w:szCs w:val="24"/>
              </w:rPr>
            </w:pPr>
            <w:r>
              <w:rPr>
                <w:rFonts w:hint="eastAsia" w:ascii="黑体" w:hAnsi="Calibri" w:eastAsia="黑体" w:cs="黑体"/>
                <w:sz w:val="24"/>
                <w:szCs w:val="24"/>
              </w:rPr>
              <w:t>建设集中式污水处理设施村庄数</w:t>
            </w:r>
          </w:p>
        </w:tc>
        <w:tc>
          <w:tcPr>
            <w:tcW w:w="1161" w:type="dxa"/>
            <w:vMerge w:val="continue"/>
            <w:tcBorders>
              <w:top w:val="nil"/>
              <w:left w:val="nil"/>
              <w:bottom w:val="single" w:color="auto" w:sz="4" w:space="0"/>
              <w:right w:val="single" w:color="auto" w:sz="4" w:space="0"/>
            </w:tcBorders>
            <w:vAlign w:val="center"/>
          </w:tcPr>
          <w:p>
            <w:pPr>
              <w:rPr>
                <w:rFonts w:ascii="Calibri" w:hAnsi="Calibri"/>
                <w:szCs w:val="24"/>
              </w:rPr>
            </w:pPr>
          </w:p>
        </w:tc>
        <w:tc>
          <w:tcPr>
            <w:tcW w:w="1363" w:type="dxa"/>
            <w:vMerge w:val="continue"/>
            <w:tcBorders>
              <w:top w:val="nil"/>
              <w:left w:val="nil"/>
              <w:bottom w:val="single" w:color="auto" w:sz="4" w:space="0"/>
              <w:right w:val="single" w:color="auto" w:sz="4" w:space="0"/>
            </w:tcBorders>
            <w:vAlign w:val="center"/>
          </w:tcPr>
          <w:p>
            <w:pPr>
              <w:rPr>
                <w:rFonts w:ascii="Calibri" w:hAnsi="Calibri"/>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blHeader/>
          <w:jc w:val="center"/>
        </w:trPr>
        <w:tc>
          <w:tcPr>
            <w:tcW w:w="1350"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笏石镇</w:t>
            </w:r>
          </w:p>
        </w:tc>
        <w:tc>
          <w:tcPr>
            <w:tcW w:w="1300"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1850"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988"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161"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6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blHeader/>
          <w:jc w:val="center"/>
        </w:trPr>
        <w:tc>
          <w:tcPr>
            <w:tcW w:w="1350"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东庄镇</w:t>
            </w:r>
          </w:p>
        </w:tc>
        <w:tc>
          <w:tcPr>
            <w:tcW w:w="1300"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c>
          <w:tcPr>
            <w:tcW w:w="1850"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1988"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161"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6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blHeader/>
          <w:jc w:val="center"/>
        </w:trPr>
        <w:tc>
          <w:tcPr>
            <w:tcW w:w="1350"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东峤镇</w:t>
            </w:r>
          </w:p>
        </w:tc>
        <w:tc>
          <w:tcPr>
            <w:tcW w:w="1300"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w:t>
            </w:r>
          </w:p>
        </w:tc>
        <w:tc>
          <w:tcPr>
            <w:tcW w:w="1850"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988"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161"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6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blHeader/>
          <w:jc w:val="center"/>
        </w:trPr>
        <w:tc>
          <w:tcPr>
            <w:tcW w:w="1350"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埭头镇</w:t>
            </w:r>
          </w:p>
        </w:tc>
        <w:tc>
          <w:tcPr>
            <w:tcW w:w="1300"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1850"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988"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161"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36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blHeader/>
          <w:jc w:val="center"/>
        </w:trPr>
        <w:tc>
          <w:tcPr>
            <w:tcW w:w="1350"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平海镇</w:t>
            </w:r>
          </w:p>
        </w:tc>
        <w:tc>
          <w:tcPr>
            <w:tcW w:w="1300"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1850"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988"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1161"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6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blHeader/>
          <w:jc w:val="center"/>
        </w:trPr>
        <w:tc>
          <w:tcPr>
            <w:tcW w:w="1350"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南日镇</w:t>
            </w:r>
          </w:p>
        </w:tc>
        <w:tc>
          <w:tcPr>
            <w:tcW w:w="1300"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850"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988"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161"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6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blHeader/>
          <w:jc w:val="center"/>
        </w:trPr>
        <w:tc>
          <w:tcPr>
            <w:tcW w:w="1350"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月塘镇</w:t>
            </w:r>
          </w:p>
        </w:tc>
        <w:tc>
          <w:tcPr>
            <w:tcW w:w="1300"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850"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88"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161"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36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blHeader/>
          <w:jc w:val="center"/>
        </w:trPr>
        <w:tc>
          <w:tcPr>
            <w:tcW w:w="1350"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1300"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147</w:t>
            </w:r>
          </w:p>
        </w:tc>
        <w:tc>
          <w:tcPr>
            <w:tcW w:w="1850"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w:t>
            </w:r>
          </w:p>
        </w:tc>
        <w:tc>
          <w:tcPr>
            <w:tcW w:w="1988"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c>
          <w:tcPr>
            <w:tcW w:w="1161"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36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64</w:t>
            </w:r>
          </w:p>
        </w:tc>
      </w:tr>
    </w:tbl>
    <w:p>
      <w:pPr>
        <w:adjustRightInd w:val="0"/>
        <w:snapToGrid w:val="0"/>
        <w:spacing w:line="288" w:lineRule="auto"/>
        <w:ind w:left="720" w:hanging="720" w:hanging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（我区共有行政村148个，因南日镇赤山村已整体搬迁，不纳入农村生活污水治理PPP项目，故总行政村数量为147个）</w:t>
      </w:r>
    </w:p>
    <w:p>
      <w:pPr>
        <w:adjustRightInd w:val="0"/>
        <w:snapToGrid w:val="0"/>
        <w:spacing w:line="288" w:lineRule="auto"/>
        <w:ind w:left="720" w:hanging="720" w:hangingChars="300"/>
        <w:rPr>
          <w:rFonts w:hint="eastAsia" w:ascii="仿宋_GB2312" w:hAnsi="仿宋_GB2312" w:eastAsia="仿宋_GB2312" w:cs="仿宋_GB2312"/>
          <w:w w:val="95"/>
          <w:sz w:val="24"/>
          <w:szCs w:val="24"/>
        </w:rPr>
      </w:pPr>
      <w:r>
        <w:rPr>
          <w:rFonts w:hint="eastAsia" w:ascii="仿宋_GB2312" w:hAnsi="仿宋_GB2312" w:eastAsia="仿宋_GB2312" w:cs="仿宋_GB2312"/>
          <w:sz w:val="24"/>
          <w:szCs w:val="24"/>
        </w:rPr>
        <w:t>注：1.</w:t>
      </w:r>
      <w:r>
        <w:rPr>
          <w:rFonts w:hint="eastAsia" w:ascii="仿宋_GB2312" w:hAnsi="仿宋_GB2312" w:eastAsia="仿宋_GB2312" w:cs="仿宋_GB2312"/>
          <w:w w:val="95"/>
          <w:sz w:val="24"/>
          <w:szCs w:val="24"/>
        </w:rPr>
        <w:t>治理类村庄是指人口集聚程度高、对尾水排放有严格要求的村庄，主要通过纳入城镇污水处理厂或建设集中式污水处理设施实施治理，确保尾水达标排放。</w:t>
      </w:r>
    </w:p>
    <w:p>
      <w:pPr>
        <w:adjustRightInd w:val="0"/>
        <w:snapToGrid w:val="0"/>
        <w:spacing w:line="288" w:lineRule="auto"/>
        <w:ind w:left="720" w:hanging="720" w:hanging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2.管控类村庄是指人口集聚程度低、对尾水排放要求较低的村庄，主要通过户厕改造三格化粪池实现粪污无害化处理，尾水排入山体、林地、农田消纳，实现管控。</w:t>
      </w:r>
    </w:p>
    <w:p>
      <w:pPr>
        <w:adjustRightInd w:val="0"/>
        <w:snapToGrid w:val="0"/>
        <w:spacing w:line="288" w:lineRule="auto"/>
        <w:ind w:left="960" w:hanging="960" w:hanging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3.通过“纳厂、集中、分散”实现处理的总户数应占该村庄常住户数90%以上。 </w:t>
      </w:r>
    </w:p>
    <w:p>
      <w:pPr>
        <w:adjustRightInd w:val="0"/>
        <w:snapToGrid w:val="0"/>
        <w:spacing w:line="288" w:lineRule="auto"/>
        <w:ind w:left="720" w:hanging="720" w:hangingChars="300"/>
        <w:rPr>
          <w:rFonts w:hint="eastAsia" w:ascii="仿宋_GB2312" w:hAnsi="仿宋_GB2312" w:eastAsia="仿宋_GB2312" w:cs="仿宋_GB2312"/>
          <w:sz w:val="24"/>
          <w:szCs w:val="24"/>
        </w:rPr>
        <w:sectPr>
          <w:footerReference r:id="rId3" w:type="default"/>
          <w:pgSz w:w="11905" w:h="16838"/>
          <w:pgMar w:top="1701" w:right="1587" w:bottom="1417" w:left="1587" w:header="851" w:footer="992" w:gutter="0"/>
          <w:pgNumType w:fmt="decimal"/>
          <w:cols w:space="0" w:num="1"/>
          <w:rtlGutter w:val="0"/>
          <w:docGrid w:type="lines" w:linePitch="443" w:charSpace="0"/>
        </w:sectPr>
      </w:pPr>
      <w:r>
        <w:rPr>
          <w:rFonts w:hint="eastAsia" w:ascii="仿宋_GB2312" w:hAnsi="仿宋_GB2312" w:eastAsia="仿宋_GB2312" w:cs="仿宋_GB2312"/>
          <w:sz w:val="24"/>
          <w:szCs w:val="24"/>
        </w:rPr>
        <w:t xml:space="preserve">    4.</w:t>
      </w:r>
      <w:r>
        <w:rPr>
          <w:rFonts w:hint="eastAsia" w:ascii="仿宋_GB2312" w:hAnsi="仿宋_GB2312" w:eastAsia="仿宋_GB2312" w:cs="仿宋_GB2312"/>
          <w:spacing w:val="-6"/>
          <w:sz w:val="24"/>
          <w:szCs w:val="24"/>
        </w:rPr>
        <w:t>七类重点村庄指的是位于饮用水源保护区、水质需进一步稳定的主要流域和小流域控制单元、重要海湾沿岸、“两高”沿线的村庄，以及存在黑臭水体的村庄、旅游重点村庄和省级乡村振兴试点村。村庄具体名单可登陆“福建省农村生活污水监管平台”查询(网址http://220.160.52.213:8093/front/login.html)</w:t>
      </w:r>
      <w:r>
        <w:rPr>
          <w:rFonts w:hint="eastAsia" w:ascii="仿宋_GB2312" w:hAnsi="仿宋_GB2312" w:eastAsia="仿宋_GB2312" w:cs="仿宋_GB2312"/>
          <w:sz w:val="24"/>
          <w:szCs w:val="24"/>
        </w:rPr>
        <w:t>。</w:t>
      </w:r>
    </w:p>
    <w:p>
      <w:pPr>
        <w:adjustRightInd w:val="0"/>
        <w:snapToGrid w:val="0"/>
        <w:spacing w:line="300" w:lineRule="auto"/>
        <w:rPr>
          <w:rFonts w:ascii="黑体" w:hAnsi="Calibri" w:eastAsia="黑体"/>
          <w:sz w:val="32"/>
          <w:szCs w:val="32"/>
        </w:rPr>
      </w:pPr>
      <w:r>
        <w:rPr>
          <w:rFonts w:hint="eastAsia" w:ascii="黑体" w:hAnsi="Calibri" w:eastAsia="黑体"/>
          <w:sz w:val="32"/>
          <w:szCs w:val="32"/>
        </w:rPr>
        <w:t>附件2</w:t>
      </w:r>
    </w:p>
    <w:p>
      <w:pPr>
        <w:adjustRightInd w:val="0"/>
        <w:snapToGrid w:val="0"/>
        <w:spacing w:line="300" w:lineRule="auto"/>
        <w:rPr>
          <w:rFonts w:ascii="黑体" w:hAnsi="Calibri" w:eastAsia="黑体"/>
          <w:szCs w:val="32"/>
        </w:rPr>
      </w:pPr>
    </w:p>
    <w:p>
      <w:pPr>
        <w:adjustRightInd w:val="0"/>
        <w:snapToGrid w:val="0"/>
        <w:spacing w:line="30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秀屿区农村生活污水提升治理2021—2025年度任务分解表</w:t>
      </w:r>
    </w:p>
    <w:tbl>
      <w:tblPr>
        <w:tblStyle w:val="10"/>
        <w:tblW w:w="13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0"/>
        <w:gridCol w:w="1487"/>
        <w:gridCol w:w="1795"/>
        <w:gridCol w:w="1440"/>
        <w:gridCol w:w="1388"/>
        <w:gridCol w:w="1516"/>
        <w:gridCol w:w="1439"/>
        <w:gridCol w:w="1350"/>
        <w:gridCol w:w="1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jc w:val="center"/>
        </w:trPr>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黑体" w:hAnsi="Calibri" w:eastAsia="黑体" w:cs="黑体"/>
                <w:sz w:val="24"/>
                <w:szCs w:val="24"/>
              </w:rPr>
            </w:pPr>
            <w:r>
              <w:rPr>
                <w:rFonts w:hint="eastAsia" w:ascii="黑体" w:eastAsia="黑体" w:cs="黑体"/>
                <w:sz w:val="24"/>
                <w:szCs w:val="24"/>
              </w:rPr>
              <w:t>乡镇</w:t>
            </w:r>
          </w:p>
        </w:tc>
        <w:tc>
          <w:tcPr>
            <w:tcW w:w="148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黑体" w:hAnsi="Calibri" w:eastAsia="黑体" w:cs="黑体"/>
                <w:sz w:val="24"/>
                <w:szCs w:val="24"/>
              </w:rPr>
            </w:pPr>
            <w:r>
              <w:rPr>
                <w:rFonts w:hint="eastAsia" w:ascii="黑体" w:hAnsi="Calibri" w:eastAsia="黑体" w:cs="黑体"/>
                <w:sz w:val="24"/>
                <w:szCs w:val="24"/>
              </w:rPr>
              <w:t>总行政村数</w:t>
            </w: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黑体" w:hAnsi="Calibri" w:eastAsia="黑体" w:cs="黑体"/>
                <w:sz w:val="24"/>
                <w:szCs w:val="24"/>
              </w:rPr>
            </w:pPr>
            <w:r>
              <w:rPr>
                <w:rFonts w:hint="eastAsia" w:ascii="黑体" w:hAnsi="Calibri" w:eastAsia="黑体" w:cs="黑体"/>
                <w:sz w:val="24"/>
                <w:szCs w:val="24"/>
              </w:rPr>
              <w:t>202</w:t>
            </w:r>
            <w:r>
              <w:rPr>
                <w:rFonts w:hint="eastAsia" w:ascii="黑体" w:eastAsia="黑体" w:cs="黑体"/>
                <w:sz w:val="24"/>
                <w:szCs w:val="24"/>
              </w:rPr>
              <w:t>1</w:t>
            </w:r>
            <w:r>
              <w:rPr>
                <w:rFonts w:hint="eastAsia" w:ascii="黑体" w:hAnsi="Calibri" w:eastAsia="黑体" w:cs="黑体"/>
                <w:sz w:val="24"/>
                <w:szCs w:val="24"/>
              </w:rPr>
              <w:t>—2025年</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黑体" w:hAnsi="Calibri" w:eastAsia="黑体" w:cs="黑体"/>
                <w:sz w:val="24"/>
                <w:szCs w:val="24"/>
              </w:rPr>
            </w:pPr>
            <w:r>
              <w:rPr>
                <w:rFonts w:hint="eastAsia" w:ascii="黑体" w:hAnsi="Calibri" w:eastAsia="黑体" w:cs="黑体"/>
                <w:sz w:val="24"/>
                <w:szCs w:val="24"/>
              </w:rPr>
              <w:t>2021年</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黑体" w:hAnsi="Calibri" w:eastAsia="黑体" w:cs="黑体"/>
                <w:sz w:val="24"/>
                <w:szCs w:val="24"/>
              </w:rPr>
            </w:pPr>
            <w:r>
              <w:rPr>
                <w:rFonts w:hint="eastAsia" w:ascii="黑体" w:hAnsi="Calibri" w:eastAsia="黑体" w:cs="黑体"/>
                <w:sz w:val="24"/>
                <w:szCs w:val="24"/>
              </w:rPr>
              <w:t>2022年</w:t>
            </w:r>
          </w:p>
        </w:tc>
        <w:tc>
          <w:tcPr>
            <w:tcW w:w="151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黑体" w:hAnsi="Calibri" w:eastAsia="黑体" w:cs="黑体"/>
                <w:sz w:val="24"/>
                <w:szCs w:val="24"/>
              </w:rPr>
            </w:pPr>
            <w:r>
              <w:rPr>
                <w:rFonts w:hint="eastAsia" w:ascii="黑体" w:hAnsi="Calibri" w:eastAsia="黑体" w:cs="黑体"/>
                <w:sz w:val="24"/>
                <w:szCs w:val="24"/>
              </w:rPr>
              <w:t>2023年</w:t>
            </w: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黑体" w:hAnsi="Calibri" w:eastAsia="黑体" w:cs="黑体"/>
                <w:sz w:val="24"/>
                <w:szCs w:val="24"/>
              </w:rPr>
            </w:pPr>
            <w:r>
              <w:rPr>
                <w:rFonts w:hint="eastAsia" w:ascii="黑体" w:hAnsi="Calibri" w:eastAsia="黑体" w:cs="黑体"/>
                <w:sz w:val="24"/>
                <w:szCs w:val="24"/>
              </w:rPr>
              <w:t>2024年</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黑体" w:hAnsi="Calibri" w:eastAsia="黑体" w:cs="黑体"/>
                <w:sz w:val="24"/>
                <w:szCs w:val="24"/>
              </w:rPr>
            </w:pPr>
            <w:r>
              <w:rPr>
                <w:rFonts w:hint="eastAsia" w:ascii="黑体" w:hAnsi="Calibri" w:eastAsia="黑体" w:cs="黑体"/>
                <w:sz w:val="24"/>
                <w:szCs w:val="24"/>
              </w:rPr>
              <w:t>2025年</w:t>
            </w:r>
          </w:p>
        </w:tc>
        <w:tc>
          <w:tcPr>
            <w:tcW w:w="17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黑体" w:hAnsi="Calibri" w:eastAsia="黑体" w:cs="黑体"/>
                <w:sz w:val="24"/>
                <w:szCs w:val="24"/>
              </w:rPr>
            </w:pPr>
            <w:r>
              <w:rPr>
                <w:rFonts w:hint="eastAsia" w:ascii="黑体" w:hAnsi="Calibri" w:eastAsia="黑体" w:cs="黑体"/>
                <w:sz w:val="24"/>
                <w:szCs w:val="24"/>
              </w:rPr>
              <w:t>“十四五”</w:t>
            </w:r>
          </w:p>
          <w:p>
            <w:pPr>
              <w:widowControl/>
              <w:adjustRightInd w:val="0"/>
              <w:snapToGrid w:val="0"/>
              <w:jc w:val="center"/>
              <w:rPr>
                <w:rFonts w:ascii="黑体" w:hAnsi="Calibri" w:eastAsia="黑体" w:cs="黑体"/>
                <w:sz w:val="24"/>
                <w:szCs w:val="24"/>
              </w:rPr>
            </w:pPr>
            <w:r>
              <w:rPr>
                <w:rFonts w:hint="eastAsia" w:ascii="黑体" w:hAnsi="Calibri" w:eastAsia="黑体" w:cs="黑体"/>
                <w:sz w:val="24"/>
                <w:szCs w:val="24"/>
              </w:rPr>
              <w:t>末治理率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笏石</w:t>
            </w:r>
          </w:p>
        </w:tc>
        <w:tc>
          <w:tcPr>
            <w:tcW w:w="148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28</w:t>
            </w: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22</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1</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2</w:t>
            </w:r>
          </w:p>
        </w:tc>
        <w:tc>
          <w:tcPr>
            <w:tcW w:w="151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8</w:t>
            </w: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11</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0</w:t>
            </w:r>
          </w:p>
        </w:tc>
        <w:tc>
          <w:tcPr>
            <w:tcW w:w="17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78.5</w:t>
            </w:r>
            <w:r>
              <w:rPr>
                <w:rFonts w:hint="eastAsia" w:ascii="仿宋_GB2312" w:hAnsi="Calibri" w:eastAsia="仿宋_GB2312"/>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东庄</w:t>
            </w:r>
          </w:p>
        </w:tc>
        <w:tc>
          <w:tcPr>
            <w:tcW w:w="148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24</w:t>
            </w: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20</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2</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5</w:t>
            </w:r>
          </w:p>
        </w:tc>
        <w:tc>
          <w:tcPr>
            <w:tcW w:w="151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8</w:t>
            </w: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5</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0</w:t>
            </w:r>
          </w:p>
        </w:tc>
        <w:tc>
          <w:tcPr>
            <w:tcW w:w="17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83.3</w:t>
            </w:r>
            <w:r>
              <w:rPr>
                <w:rFonts w:hint="eastAsia" w:ascii="仿宋_GB2312" w:hAnsi="Calibri" w:eastAsia="仿宋_GB2312"/>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东峤</w:t>
            </w:r>
          </w:p>
        </w:tc>
        <w:tc>
          <w:tcPr>
            <w:tcW w:w="148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25</w:t>
            </w: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19</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0</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1</w:t>
            </w:r>
          </w:p>
        </w:tc>
        <w:tc>
          <w:tcPr>
            <w:tcW w:w="151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2</w:t>
            </w: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6</w:t>
            </w:r>
            <w:r>
              <w:rPr>
                <w:rFonts w:hint="eastAsia" w:ascii="仿宋_GB2312" w:hAnsi="Calibri" w:eastAsia="仿宋_GB2312"/>
                <w:sz w:val="24"/>
                <w:szCs w:val="24"/>
              </w:rPr>
              <w:t xml:space="preserve"> </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10</w:t>
            </w:r>
          </w:p>
        </w:tc>
        <w:tc>
          <w:tcPr>
            <w:tcW w:w="17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76.0</w:t>
            </w:r>
            <w:r>
              <w:rPr>
                <w:rFonts w:hint="eastAsia" w:ascii="仿宋_GB2312" w:hAnsi="Calibri" w:eastAsia="仿宋_GB2312"/>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埭头</w:t>
            </w:r>
          </w:p>
        </w:tc>
        <w:tc>
          <w:tcPr>
            <w:tcW w:w="148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23</w:t>
            </w: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17</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2</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2</w:t>
            </w:r>
          </w:p>
        </w:tc>
        <w:tc>
          <w:tcPr>
            <w:tcW w:w="151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2</w:t>
            </w: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4</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7</w:t>
            </w:r>
            <w:r>
              <w:rPr>
                <w:rFonts w:hint="eastAsia" w:ascii="仿宋_GB2312" w:hAnsi="Calibri" w:eastAsia="仿宋_GB2312"/>
                <w:sz w:val="24"/>
                <w:szCs w:val="24"/>
              </w:rPr>
              <w:t xml:space="preserve"> </w:t>
            </w:r>
          </w:p>
        </w:tc>
        <w:tc>
          <w:tcPr>
            <w:tcW w:w="17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73.9</w:t>
            </w:r>
            <w:r>
              <w:rPr>
                <w:rFonts w:hint="eastAsia" w:ascii="仿宋_GB2312" w:hAnsi="Calibri" w:eastAsia="仿宋_GB2312"/>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平海</w:t>
            </w:r>
          </w:p>
        </w:tc>
        <w:tc>
          <w:tcPr>
            <w:tcW w:w="148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20</w:t>
            </w: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14</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0</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0</w:t>
            </w:r>
          </w:p>
        </w:tc>
        <w:tc>
          <w:tcPr>
            <w:tcW w:w="151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1</w:t>
            </w: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5</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8</w:t>
            </w:r>
          </w:p>
        </w:tc>
        <w:tc>
          <w:tcPr>
            <w:tcW w:w="17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70.0</w:t>
            </w:r>
            <w:r>
              <w:rPr>
                <w:rFonts w:hint="eastAsia" w:ascii="仿宋_GB2312" w:hAnsi="Calibri" w:eastAsia="仿宋_GB2312"/>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南日</w:t>
            </w:r>
          </w:p>
        </w:tc>
        <w:tc>
          <w:tcPr>
            <w:tcW w:w="148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16</w:t>
            </w: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11</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0</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0</w:t>
            </w:r>
          </w:p>
        </w:tc>
        <w:tc>
          <w:tcPr>
            <w:tcW w:w="151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1</w:t>
            </w: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4</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6</w:t>
            </w:r>
          </w:p>
        </w:tc>
        <w:tc>
          <w:tcPr>
            <w:tcW w:w="17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月塘</w:t>
            </w:r>
          </w:p>
        </w:tc>
        <w:tc>
          <w:tcPr>
            <w:tcW w:w="148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11</w:t>
            </w: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8</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0</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0</w:t>
            </w:r>
          </w:p>
        </w:tc>
        <w:tc>
          <w:tcPr>
            <w:tcW w:w="151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1</w:t>
            </w: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3</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4</w:t>
            </w:r>
          </w:p>
        </w:tc>
        <w:tc>
          <w:tcPr>
            <w:tcW w:w="17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合计</w:t>
            </w:r>
          </w:p>
        </w:tc>
        <w:tc>
          <w:tcPr>
            <w:tcW w:w="148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147</w:t>
            </w:r>
          </w:p>
        </w:tc>
        <w:tc>
          <w:tcPr>
            <w:tcW w:w="179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111</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5</w:t>
            </w:r>
            <w:r>
              <w:rPr>
                <w:rFonts w:hint="eastAsia" w:ascii="仿宋_GB2312" w:hAnsi="Calibri" w:eastAsia="仿宋_GB2312"/>
                <w:sz w:val="24"/>
                <w:szCs w:val="24"/>
              </w:rPr>
              <w:t xml:space="preserve"> </w:t>
            </w:r>
          </w:p>
        </w:tc>
        <w:tc>
          <w:tcPr>
            <w:tcW w:w="138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10</w:t>
            </w:r>
          </w:p>
        </w:tc>
        <w:tc>
          <w:tcPr>
            <w:tcW w:w="151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23</w:t>
            </w:r>
            <w:r>
              <w:rPr>
                <w:rFonts w:hint="eastAsia" w:ascii="仿宋_GB2312" w:hAnsi="Calibri" w:eastAsia="仿宋_GB2312"/>
                <w:sz w:val="24"/>
                <w:szCs w:val="24"/>
              </w:rPr>
              <w:t xml:space="preserve"> </w:t>
            </w: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38</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eastAsia="仿宋_GB2312"/>
                <w:sz w:val="24"/>
                <w:szCs w:val="24"/>
              </w:rPr>
              <w:t>35</w:t>
            </w:r>
          </w:p>
        </w:tc>
        <w:tc>
          <w:tcPr>
            <w:tcW w:w="172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仿宋_GB2312" w:hAnsi="Calibri" w:eastAsia="仿宋_GB2312"/>
                <w:sz w:val="24"/>
                <w:szCs w:val="24"/>
              </w:rPr>
            </w:pPr>
            <w:r>
              <w:rPr>
                <w:rFonts w:hint="eastAsia" w:ascii="仿宋_GB2312" w:hAnsi="Calibri" w:eastAsia="仿宋_GB2312"/>
                <w:sz w:val="24"/>
                <w:szCs w:val="24"/>
              </w:rPr>
              <w:t>75</w:t>
            </w:r>
            <w:r>
              <w:rPr>
                <w:rFonts w:hint="eastAsia" w:ascii="仿宋_GB2312" w:eastAsia="仿宋_GB2312"/>
                <w:sz w:val="24"/>
                <w:szCs w:val="24"/>
              </w:rPr>
              <w:t>.5</w:t>
            </w:r>
            <w:r>
              <w:rPr>
                <w:rFonts w:hint="eastAsia" w:ascii="仿宋_GB2312" w:hAnsi="Calibri" w:eastAsia="仿宋_GB2312"/>
                <w:sz w:val="24"/>
                <w:szCs w:val="24"/>
              </w:rPr>
              <w:t>%</w:t>
            </w:r>
          </w:p>
        </w:tc>
      </w:tr>
    </w:tbl>
    <w:p>
      <w:pPr>
        <w:pStyle w:val="9"/>
        <w:ind w:firstLine="0" w:firstLineChars="0"/>
      </w:pPr>
    </w:p>
    <w:p>
      <w:pPr>
        <w:sectPr>
          <w:footerReference r:id="rId4" w:type="default"/>
          <w:footerReference r:id="rId5" w:type="even"/>
          <w:pgSz w:w="16838" w:h="11905" w:orient="landscape"/>
          <w:pgMar w:top="1587" w:right="1701" w:bottom="1587" w:left="1417" w:header="851" w:footer="992" w:gutter="0"/>
          <w:pgNumType w:fmt="decimal"/>
          <w:cols w:space="0" w:num="1"/>
          <w:rtlGutter w:val="0"/>
          <w:docGrid w:type="lines" w:linePitch="443" w:charSpace="0"/>
        </w:sectPr>
      </w:pPr>
    </w:p>
    <w:p>
      <w:pPr>
        <w:adjustRightInd w:val="0"/>
        <w:snapToGrid w:val="0"/>
        <w:spacing w:line="300" w:lineRule="auto"/>
        <w:rPr>
          <w:rFonts w:hint="eastAsia" w:ascii="黑体" w:hAnsi="Calibri" w:eastAsia="黑体"/>
          <w:sz w:val="32"/>
          <w:szCs w:val="32"/>
          <w:lang w:val="en-US" w:eastAsia="zh-CN"/>
        </w:rPr>
      </w:pPr>
      <w:r>
        <w:rPr>
          <w:rFonts w:hint="eastAsia" w:ascii="黑体" w:hAnsi="Calibri" w:eastAsia="黑体"/>
          <w:sz w:val="32"/>
          <w:szCs w:val="32"/>
        </w:rPr>
        <w:t>附件</w:t>
      </w:r>
      <w:r>
        <w:rPr>
          <w:rFonts w:hint="eastAsia" w:ascii="黑体" w:hAnsi="Calibri" w:eastAsia="黑体"/>
          <w:sz w:val="32"/>
          <w:szCs w:val="32"/>
          <w:lang w:val="en-US" w:eastAsia="zh-CN"/>
        </w:rPr>
        <w:t>3</w:t>
      </w:r>
    </w:p>
    <w:p>
      <w:pPr>
        <w:pStyle w:val="9"/>
        <w:rPr>
          <w:rFonts w:hint="eastAsia"/>
          <w:lang w:val="en-US" w:eastAsia="zh-CN"/>
        </w:rPr>
      </w:pPr>
    </w:p>
    <w:p>
      <w:pPr>
        <w:widowControl w:val="0"/>
        <w:wordWrap/>
        <w:adjustRightInd/>
        <w:snapToGrid/>
        <w:spacing w:line="590" w:lineRule="exact"/>
        <w:ind w:firstLine="0" w:firstLineChars="0"/>
        <w:jc w:val="center"/>
        <w:textAlignment w:val="auto"/>
        <w:rPr>
          <w:rFonts w:hint="eastAsia" w:eastAsia="楷体" w:cs="楷体"/>
          <w:b/>
          <w:bCs/>
          <w:sz w:val="44"/>
          <w:szCs w:val="44"/>
        </w:rPr>
      </w:pPr>
      <w:r>
        <w:rPr>
          <w:rFonts w:hint="eastAsia" w:ascii="方正小标宋简体" w:hAnsi="方正小标宋简体" w:eastAsia="方正小标宋简体" w:cs="方正小标宋简体"/>
          <w:b w:val="0"/>
          <w:bCs/>
          <w:sz w:val="44"/>
          <w:szCs w:val="44"/>
          <w:lang w:val="en-US" w:eastAsia="zh-CN"/>
        </w:rPr>
        <w:t>秀屿区</w:t>
      </w:r>
      <w:r>
        <w:rPr>
          <w:rFonts w:hint="eastAsia" w:ascii="方正小标宋简体" w:hAnsi="方正小标宋简体" w:eastAsia="方正小标宋简体" w:cs="方正小标宋简体"/>
          <w:b w:val="0"/>
          <w:bCs/>
          <w:sz w:val="44"/>
          <w:szCs w:val="44"/>
        </w:rPr>
        <w:t>农村生活污水</w:t>
      </w:r>
      <w:r>
        <w:rPr>
          <w:rFonts w:hint="eastAsia" w:ascii="方正小标宋简体" w:hAnsi="方正小标宋简体" w:eastAsia="方正小标宋简体" w:cs="方正小标宋简体"/>
          <w:b w:val="0"/>
          <w:bCs/>
          <w:sz w:val="44"/>
          <w:szCs w:val="44"/>
          <w:lang w:eastAsia="zh-CN"/>
        </w:rPr>
        <w:t>提升</w:t>
      </w:r>
      <w:r>
        <w:rPr>
          <w:rFonts w:hint="eastAsia" w:ascii="方正小标宋简体" w:hAnsi="方正小标宋简体" w:eastAsia="方正小标宋简体" w:cs="方正小标宋简体"/>
          <w:b w:val="0"/>
          <w:bCs/>
          <w:sz w:val="44"/>
          <w:szCs w:val="44"/>
        </w:rPr>
        <w:t>治理试点实施方案</w:t>
      </w:r>
    </w:p>
    <w:p>
      <w:pPr>
        <w:ind w:firstLine="600"/>
        <w:rPr>
          <w:rFonts w:hint="eastAsia"/>
          <w:sz w:val="30"/>
          <w:szCs w:val="30"/>
        </w:rPr>
      </w:pPr>
    </w:p>
    <w:p>
      <w:pPr>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莆田市农村生活污水提升治理五年行动计划（2021-2025年）》（莆政办〔2021〕74号）文件精神和工作要求，我区作为市级农村生活污水提升治理试点，重点任务是探索项目打包审批机制、海岛区域适用处理技术工艺，2022年底形成可复制、可推广的治理经验和模式。现结合我区实际，特制定本实施方案。</w:t>
      </w:r>
    </w:p>
    <w:p>
      <w:pPr>
        <w:pStyle w:val="2"/>
        <w:pageBreakBefore w:val="0"/>
        <w:widowControl w:val="0"/>
        <w:numPr>
          <w:ilvl w:val="0"/>
          <w:numId w:val="2"/>
        </w:numPr>
        <w:kinsoku/>
        <w:wordWrap/>
        <w:overflowPunct/>
        <w:topLinePunct w:val="0"/>
        <w:autoSpaceDE/>
        <w:autoSpaceDN/>
        <w:bidi w:val="0"/>
        <w:snapToGrid/>
        <w:spacing w:before="0" w:after="0" w:line="560" w:lineRule="exact"/>
        <w:ind w:left="0" w:leftChars="0"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总体要求</w:t>
      </w:r>
    </w:p>
    <w:p>
      <w:pPr>
        <w:pageBreakBefore w:val="0"/>
        <w:widowControl w:val="0"/>
        <w:kinsoku/>
        <w:wordWrap/>
        <w:overflowPunct/>
        <w:topLinePunct w:val="0"/>
        <w:autoSpaceDE/>
        <w:autoSpaceDN/>
        <w:bidi w:val="0"/>
        <w:adjustRightInd w:val="0"/>
        <w:snapToGrid w:val="0"/>
        <w:spacing w:before="0" w:after="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规划、设计、建设、运维”区域一体化的治水思路，打破城乡界限，完善治理规划，落实“一区一规划、一镇一方案、一村一设计”的工作要求，重点提升治理转型融合城郊类、集聚提升中心类、保护开发特色类村庄，优先治理环境问题突出、乡村振兴试点等七类重点区域内的村庄。巩固拓展项目打包审批机制成效、探索海岛区域适用处理技术工艺，确保农村生活污水提升治理顺利推进，已建治理设施正常运行、持续发挥作用。</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二、基本情况</w:t>
      </w:r>
    </w:p>
    <w:p>
      <w:pPr>
        <w:pageBreakBefore w:val="0"/>
        <w:widowControl w:val="0"/>
        <w:kinsoku/>
        <w:wordWrap/>
        <w:overflowPunct/>
        <w:topLinePunct w:val="0"/>
        <w:autoSpaceDE/>
        <w:autoSpaceDN/>
        <w:bidi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区农村生活污水收集与处理工程已于2018年8月29日完成立项批复，工程总投资14.3亿元，包括全区7个镇农村生活污水的污水收集、污水处理及污水提升工程，涉及主管网960km、小型污水处理设施63座等建设内容。目前我区已启动笏石镇25个行政村、东庄镇23个行政村、东峤镇14个行政村、埭头镇12个行政村、平海镇14个行政村、南日镇10个行政村、月塘镇2个行政村共100个行政村的污水管网及相关配套设施建设。</w:t>
      </w:r>
    </w:p>
    <w:p>
      <w:pPr>
        <w:pStyle w:val="9"/>
        <w:pageBreakBefore w:val="0"/>
        <w:widowControl w:val="0"/>
        <w:numPr>
          <w:ilvl w:val="0"/>
          <w:numId w:val="3"/>
        </w:numPr>
        <w:kinsoku/>
        <w:wordWrap/>
        <w:overflowPunct/>
        <w:topLinePunct w:val="0"/>
        <w:autoSpaceDE/>
        <w:autoSpaceDN/>
        <w:bidi w:val="0"/>
        <w:spacing w:before="0" w:after="0" w:line="560" w:lineRule="exact"/>
        <w:ind w:left="0" w:leftChars="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重点任务</w:t>
      </w:r>
    </w:p>
    <w:p>
      <w:pPr>
        <w:pageBreakBefore w:val="0"/>
        <w:widowControl w:val="0"/>
        <w:kinsoku/>
        <w:wordWrap/>
        <w:overflowPunct/>
        <w:topLinePunct w:val="0"/>
        <w:autoSpaceDE/>
        <w:autoSpaceDN/>
        <w:bidi w:val="0"/>
        <w:adjustRightInd w:val="0"/>
        <w:snapToGrid w:val="0"/>
        <w:spacing w:before="0" w:after="0" w:line="560" w:lineRule="exact"/>
        <w:ind w:left="0" w:leftChars="0" w:right="0" w:firstLine="643" w:firstLineChars="200"/>
        <w:jc w:val="both"/>
        <w:textAlignment w:val="auto"/>
        <w:outlineLvl w:val="9"/>
        <w:rPr>
          <w:rFonts w:hint="eastAsia" w:ascii="仿宋_GB2312" w:hAnsi="仿宋_GB2312" w:eastAsia="仿宋_GB2312" w:cs="仿宋_GB2312"/>
          <w:bCs/>
          <w:sz w:val="32"/>
          <w:szCs w:val="32"/>
        </w:rPr>
      </w:pPr>
      <w:r>
        <w:rPr>
          <w:rFonts w:hint="eastAsia" w:ascii="楷体_GB2312" w:hAnsi="楷体_GB2312" w:eastAsia="楷体_GB2312" w:cs="楷体_GB2312"/>
          <w:b/>
          <w:sz w:val="32"/>
          <w:szCs w:val="32"/>
          <w:lang w:val="en-US" w:eastAsia="zh-CN"/>
        </w:rPr>
        <w:t>（一）巩固拓展</w:t>
      </w:r>
      <w:r>
        <w:rPr>
          <w:rFonts w:hint="eastAsia" w:ascii="楷体_GB2312" w:hAnsi="楷体_GB2312" w:eastAsia="楷体_GB2312" w:cs="楷体_GB2312"/>
          <w:b/>
          <w:sz w:val="32"/>
          <w:szCs w:val="32"/>
        </w:rPr>
        <w:t>项目打包审批机制</w:t>
      </w:r>
      <w:r>
        <w:rPr>
          <w:rFonts w:hint="eastAsia" w:ascii="楷体_GB2312" w:hAnsi="楷体_GB2312" w:eastAsia="楷体_GB2312" w:cs="楷体_GB2312"/>
          <w:b/>
          <w:sz w:val="32"/>
          <w:szCs w:val="32"/>
          <w:lang w:val="en-US" w:eastAsia="zh-CN"/>
        </w:rPr>
        <w:t>成效</w:t>
      </w:r>
      <w:r>
        <w:rPr>
          <w:rFonts w:hint="eastAsia" w:ascii="楷体_GB2312" w:hAnsi="楷体_GB2312" w:eastAsia="楷体_GB2312" w:cs="楷体_GB2312"/>
          <w:b/>
          <w:sz w:val="32"/>
          <w:szCs w:val="32"/>
        </w:rPr>
        <w:t>。</w:t>
      </w:r>
      <w:r>
        <w:rPr>
          <w:rFonts w:hint="eastAsia" w:ascii="仿宋_GB2312" w:hAnsi="仿宋_GB2312" w:eastAsia="仿宋_GB2312" w:cs="仿宋_GB2312"/>
          <w:bCs/>
          <w:color w:val="auto"/>
          <w:sz w:val="32"/>
          <w:szCs w:val="32"/>
          <w:highlight w:val="none"/>
          <w:lang w:val="en-US" w:eastAsia="zh-CN"/>
        </w:rPr>
        <w:t>在</w:t>
      </w:r>
      <w:r>
        <w:rPr>
          <w:rFonts w:hint="eastAsia" w:ascii="仿宋_GB2312" w:hAnsi="仿宋_GB2312" w:eastAsia="仿宋_GB2312" w:cs="仿宋_GB2312"/>
          <w:bCs/>
          <w:color w:val="auto"/>
          <w:sz w:val="32"/>
          <w:szCs w:val="32"/>
          <w:highlight w:val="none"/>
        </w:rPr>
        <w:t>全区7个镇污水处理设施整体打包审批</w:t>
      </w:r>
      <w:r>
        <w:rPr>
          <w:rFonts w:hint="eastAsia" w:ascii="仿宋_GB2312" w:hAnsi="仿宋_GB2312" w:eastAsia="仿宋_GB2312" w:cs="仿宋_GB2312"/>
          <w:bCs/>
          <w:color w:val="auto"/>
          <w:sz w:val="32"/>
          <w:szCs w:val="32"/>
          <w:highlight w:val="none"/>
          <w:lang w:val="en-US" w:eastAsia="zh-CN"/>
        </w:rPr>
        <w:t>的基础上</w:t>
      </w:r>
      <w:r>
        <w:rPr>
          <w:rFonts w:hint="eastAsia" w:ascii="仿宋_GB2312" w:hAnsi="仿宋_GB2312" w:eastAsia="仿宋_GB2312" w:cs="仿宋_GB2312"/>
          <w:bCs/>
          <w:color w:val="auto"/>
          <w:sz w:val="32"/>
          <w:szCs w:val="32"/>
          <w:highlight w:val="none"/>
        </w:rPr>
        <w:t>，坚持统一规划设计、统一建设管理、统一运营维护原则</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统筹推进农村生活污水治理工程</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对</w:t>
      </w:r>
      <w:r>
        <w:rPr>
          <w:rFonts w:hint="eastAsia" w:ascii="仿宋_GB2312" w:hAnsi="仿宋_GB2312" w:eastAsia="仿宋_GB2312" w:cs="仿宋_GB2312"/>
          <w:bCs/>
          <w:color w:val="auto"/>
          <w:sz w:val="32"/>
          <w:szCs w:val="32"/>
          <w:highlight w:val="none"/>
        </w:rPr>
        <w:t>农村生活污水治理工程涉及</w:t>
      </w:r>
      <w:r>
        <w:rPr>
          <w:rFonts w:hint="eastAsia" w:ascii="仿宋_GB2312" w:hAnsi="仿宋_GB2312" w:eastAsia="仿宋_GB2312" w:cs="仿宋_GB2312"/>
          <w:bCs/>
          <w:color w:val="auto"/>
          <w:sz w:val="32"/>
          <w:szCs w:val="32"/>
          <w:highlight w:val="none"/>
          <w:lang w:val="en-US" w:eastAsia="zh-CN"/>
        </w:rPr>
        <w:t>的</w:t>
      </w:r>
      <w:r>
        <w:rPr>
          <w:rFonts w:hint="eastAsia" w:ascii="仿宋_GB2312" w:hAnsi="仿宋_GB2312" w:eastAsia="仿宋_GB2312" w:cs="仿宋_GB2312"/>
          <w:bCs/>
          <w:color w:val="auto"/>
          <w:sz w:val="32"/>
          <w:szCs w:val="32"/>
          <w:highlight w:val="none"/>
        </w:rPr>
        <w:t>污水场站、泵站</w:t>
      </w:r>
      <w:r>
        <w:rPr>
          <w:rFonts w:hint="eastAsia" w:ascii="仿宋_GB2312" w:hAnsi="仿宋_GB2312" w:eastAsia="仿宋_GB2312" w:cs="仿宋_GB2312"/>
          <w:bCs/>
          <w:color w:val="auto"/>
          <w:sz w:val="32"/>
          <w:szCs w:val="32"/>
          <w:highlight w:val="none"/>
          <w:lang w:val="en-US" w:eastAsia="zh-CN"/>
        </w:rPr>
        <w:t>等</w:t>
      </w:r>
      <w:r>
        <w:rPr>
          <w:rFonts w:hint="eastAsia" w:ascii="仿宋_GB2312" w:hAnsi="仿宋_GB2312" w:eastAsia="仿宋_GB2312" w:cs="仿宋_GB2312"/>
          <w:bCs/>
          <w:color w:val="auto"/>
          <w:sz w:val="32"/>
          <w:szCs w:val="32"/>
          <w:highlight w:val="none"/>
        </w:rPr>
        <w:t>用地审批坚持以镇为单位，逐村确定厂站选址，绘制勘测定界图，统一上报调整用地性质，成熟一批、上报一批；对农村生活污水治理工程涉及</w:t>
      </w:r>
      <w:r>
        <w:rPr>
          <w:rFonts w:hint="eastAsia" w:ascii="仿宋_GB2312" w:hAnsi="仿宋_GB2312" w:eastAsia="仿宋_GB2312" w:cs="仿宋_GB2312"/>
          <w:bCs/>
          <w:color w:val="auto"/>
          <w:sz w:val="32"/>
          <w:szCs w:val="32"/>
          <w:highlight w:val="none"/>
          <w:lang w:val="en-US" w:eastAsia="zh-CN"/>
        </w:rPr>
        <w:t>的</w:t>
      </w:r>
      <w:r>
        <w:rPr>
          <w:rFonts w:hint="eastAsia" w:ascii="仿宋_GB2312" w:hAnsi="仿宋_GB2312" w:eastAsia="仿宋_GB2312" w:cs="仿宋_GB2312"/>
          <w:bCs/>
          <w:color w:val="auto"/>
          <w:sz w:val="32"/>
          <w:szCs w:val="32"/>
          <w:highlight w:val="none"/>
        </w:rPr>
        <w:t>水土保持、规划用地、施工许可、占用道路等审批事项实行一条龙服务，支持采取并联审批、告知承诺等措施，优化项目审批事项。2022年底前形成可复制、可推广的治理经验和模式。</w:t>
      </w:r>
      <w:r>
        <w:rPr>
          <w:rFonts w:hint="eastAsia" w:ascii="仿宋_GB2312" w:hAnsi="仿宋_GB2312" w:eastAsia="仿宋_GB2312" w:cs="仿宋_GB2312"/>
          <w:sz w:val="32"/>
          <w:szCs w:val="32"/>
        </w:rPr>
        <w:t>（责任单位：区住建局、区发改局、区自然资源局、区水利局、区交通运输局、秀屿生态环境局、各镇人民政府等）</w:t>
      </w:r>
    </w:p>
    <w:p>
      <w:pPr>
        <w:pageBreakBefore w:val="0"/>
        <w:widowControl w:val="0"/>
        <w:tabs>
          <w:tab w:val="left" w:pos="3360"/>
        </w:tabs>
        <w:kinsoku/>
        <w:wordWrap/>
        <w:overflowPunct/>
        <w:topLinePunct w:val="0"/>
        <w:autoSpaceDE/>
        <w:autoSpaceDN/>
        <w:bidi w:val="0"/>
        <w:adjustRightInd w:val="0"/>
        <w:snapToGrid w:val="0"/>
        <w:spacing w:before="0" w:after="0" w:line="56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二</w:t>
      </w:r>
      <w:r>
        <w:rPr>
          <w:rFonts w:hint="eastAsia" w:ascii="楷体_GB2312" w:hAnsi="楷体_GB2312" w:eastAsia="楷体_GB2312" w:cs="楷体_GB2312"/>
          <w:b/>
          <w:sz w:val="32"/>
          <w:szCs w:val="32"/>
        </w:rPr>
        <w:t>）探索海岛区域适用处理技术工艺。</w:t>
      </w:r>
      <w:r>
        <w:rPr>
          <w:rFonts w:hint="eastAsia" w:ascii="仿宋_GB2312" w:hAnsi="仿宋_GB2312" w:eastAsia="仿宋_GB2312" w:cs="仿宋_GB2312"/>
          <w:bCs/>
          <w:color w:val="auto"/>
          <w:sz w:val="32"/>
          <w:szCs w:val="32"/>
        </w:rPr>
        <w:t>选取南日镇海山村、西高村作为海岛农村生活污水处理技术工艺试点</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通盘考虑设施占地面积、性能、运行效果及成本等因素，对A</w:t>
      </w:r>
      <w:r>
        <w:rPr>
          <w:rFonts w:hint="eastAsia" w:ascii="仿宋_GB2312" w:hAnsi="仿宋_GB2312" w:eastAsia="仿宋_GB2312" w:cs="仿宋_GB2312"/>
          <w:bCs/>
          <w:color w:val="auto"/>
          <w:sz w:val="32"/>
          <w:szCs w:val="32"/>
          <w:vertAlign w:val="superscript"/>
          <w:lang w:val="en-US" w:eastAsia="zh-CN"/>
        </w:rPr>
        <w:t>2</w:t>
      </w:r>
      <w:r>
        <w:rPr>
          <w:rFonts w:hint="eastAsia" w:ascii="仿宋_GB2312" w:hAnsi="仿宋_GB2312" w:eastAsia="仿宋_GB2312" w:cs="仿宋_GB2312"/>
          <w:bCs/>
          <w:color w:val="auto"/>
          <w:sz w:val="32"/>
          <w:szCs w:val="32"/>
          <w:lang w:val="en-US" w:eastAsia="zh-CN"/>
        </w:rPr>
        <w:t>O工艺、SBR工艺、MBR处理工艺及生物接触氧化法等工艺进行比选</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通过比选得出合适的技术工艺作为海山村、西高村农村生活污水处理技术工艺</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同时对试点村庄生活污水处理效果进行评估、总结，2022年底前</w:t>
      </w:r>
      <w:r>
        <w:rPr>
          <w:rFonts w:hint="eastAsia" w:ascii="仿宋_GB2312" w:hAnsi="仿宋_GB2312" w:eastAsia="仿宋_GB2312" w:cs="仿宋_GB2312"/>
          <w:bCs/>
          <w:color w:val="auto"/>
          <w:sz w:val="32"/>
          <w:szCs w:val="32"/>
        </w:rPr>
        <w:t>将适用处理技术工艺推广至</w:t>
      </w:r>
      <w:r>
        <w:rPr>
          <w:rFonts w:hint="eastAsia" w:ascii="仿宋_GB2312" w:hAnsi="仿宋_GB2312" w:eastAsia="仿宋_GB2312" w:cs="仿宋_GB2312"/>
          <w:bCs/>
          <w:color w:val="auto"/>
          <w:sz w:val="32"/>
          <w:szCs w:val="32"/>
          <w:lang w:val="en-US" w:eastAsia="zh-CN"/>
        </w:rPr>
        <w:t>其他</w:t>
      </w:r>
      <w:r>
        <w:rPr>
          <w:rFonts w:hint="eastAsia" w:ascii="仿宋_GB2312" w:hAnsi="仿宋_GB2312" w:eastAsia="仿宋_GB2312" w:cs="仿宋_GB2312"/>
          <w:bCs/>
          <w:color w:val="auto"/>
          <w:sz w:val="32"/>
          <w:szCs w:val="32"/>
        </w:rPr>
        <w:t>海岛类村庄。</w:t>
      </w:r>
      <w:r>
        <w:rPr>
          <w:rFonts w:hint="eastAsia" w:ascii="仿宋_GB2312" w:hAnsi="仿宋_GB2312" w:eastAsia="仿宋_GB2312" w:cs="仿宋_GB2312"/>
          <w:sz w:val="32"/>
          <w:szCs w:val="32"/>
        </w:rPr>
        <w:t>（责任单位：区住建局、秀屿生态环境局、南日镇等）</w:t>
      </w:r>
    </w:p>
    <w:p>
      <w:pPr>
        <w:pStyle w:val="9"/>
        <w:pageBreakBefore w:val="0"/>
        <w:widowControl w:val="0"/>
        <w:kinsoku/>
        <w:wordWrap/>
        <w:overflowPunct/>
        <w:topLinePunct w:val="0"/>
        <w:autoSpaceDE/>
        <w:autoSpaceDN/>
        <w:bidi w:val="0"/>
        <w:spacing w:before="0" w:after="0" w:line="560" w:lineRule="exact"/>
        <w:ind w:left="0" w:leftChars="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四、实施步骤</w:t>
      </w:r>
    </w:p>
    <w:p>
      <w:pPr>
        <w:pStyle w:val="9"/>
        <w:pageBreakBefore w:val="0"/>
        <w:widowControl w:val="0"/>
        <w:kinsoku/>
        <w:wordWrap/>
        <w:overflowPunct/>
        <w:topLinePunct w:val="0"/>
        <w:autoSpaceDE/>
        <w:autoSpaceDN/>
        <w:bidi w:val="0"/>
        <w:spacing w:before="0" w:after="0" w:line="560"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（一）全面实施阶段（到2022年9月底）</w:t>
      </w:r>
    </w:p>
    <w:p>
      <w:pPr>
        <w:pStyle w:val="9"/>
        <w:pageBreakBefore w:val="0"/>
        <w:widowControl w:val="0"/>
        <w:kinsoku/>
        <w:wordWrap/>
        <w:overflowPunct/>
        <w:topLinePunct w:val="0"/>
        <w:autoSpaceDE/>
        <w:autoSpaceDN/>
        <w:bidi w:val="0"/>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按照本实施方案“重点任务”要求，各镇、区相关职能部门要细化重点任务，明确职责分工和时间节点安排，并全面推进实施，确保各项任务落到实处，按时完成目标任务。</w:t>
      </w:r>
    </w:p>
    <w:p>
      <w:pPr>
        <w:pStyle w:val="9"/>
        <w:pageBreakBefore w:val="0"/>
        <w:widowControl w:val="0"/>
        <w:kinsoku/>
        <w:wordWrap/>
        <w:overflowPunct/>
        <w:topLinePunct w:val="0"/>
        <w:autoSpaceDE/>
        <w:autoSpaceDN/>
        <w:bidi w:val="0"/>
        <w:spacing w:before="0" w:after="0" w:line="560"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（二）总结推广阶段（2022年10月至12月）</w:t>
      </w:r>
    </w:p>
    <w:p>
      <w:pPr>
        <w:pStyle w:val="9"/>
        <w:pageBreakBefore w:val="0"/>
        <w:widowControl w:val="0"/>
        <w:kinsoku/>
        <w:wordWrap/>
        <w:overflowPunct/>
        <w:topLinePunct w:val="0"/>
        <w:autoSpaceDE/>
        <w:autoSpaceDN/>
        <w:bidi w:val="0"/>
        <w:spacing w:before="0" w:after="0" w:line="560" w:lineRule="exact"/>
        <w:ind w:left="0" w:leftChars="0" w:right="0" w:firstLine="640"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各镇、区相关职能部门在全面完成目标任务的基础上，认真总结本辖区、本部门的经验做法于2022年10月底前报送秀屿生态环境局汇总。</w:t>
      </w:r>
    </w:p>
    <w:p>
      <w:pPr>
        <w:pStyle w:val="9"/>
        <w:pageBreakBefore w:val="0"/>
        <w:widowControl w:val="0"/>
        <w:kinsoku/>
        <w:wordWrap/>
        <w:overflowPunct/>
        <w:topLinePunct w:val="0"/>
        <w:autoSpaceDE/>
        <w:autoSpaceDN/>
        <w:bidi w:val="0"/>
        <w:spacing w:before="0" w:after="0" w:line="560" w:lineRule="exact"/>
        <w:ind w:left="0" w:leftChars="0" w:right="0" w:firstLine="640" w:firstLineChars="200"/>
        <w:jc w:val="both"/>
        <w:textAlignment w:val="auto"/>
        <w:rPr>
          <w:rFonts w:hint="eastAsia" w:ascii="黑体" w:hAnsi="黑体" w:eastAsia="黑体" w:cs="黑体"/>
          <w:b w:val="0"/>
          <w:bCs w:val="0"/>
          <w:sz w:val="32"/>
          <w:szCs w:val="32"/>
          <w:u w:val="none"/>
          <w:lang w:eastAsia="zh-CN"/>
        </w:rPr>
      </w:pPr>
      <w:r>
        <w:rPr>
          <w:rFonts w:hint="eastAsia" w:ascii="黑体" w:hAnsi="黑体" w:eastAsia="黑体" w:cs="黑体"/>
          <w:b w:val="0"/>
          <w:bCs w:val="0"/>
          <w:kern w:val="2"/>
          <w:sz w:val="32"/>
          <w:szCs w:val="32"/>
          <w:lang w:val="en-US" w:eastAsia="zh-CN" w:bidi="ar-SA"/>
        </w:rPr>
        <w:t>五、保障措施</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（一）加强组织领导。</w:t>
      </w:r>
      <w:r>
        <w:rPr>
          <w:rFonts w:hint="eastAsia" w:ascii="仿宋_GB2312" w:hAnsi="仿宋_GB2312" w:eastAsia="仿宋_GB2312" w:cs="仿宋_GB2312"/>
          <w:kern w:val="2"/>
          <w:sz w:val="32"/>
          <w:szCs w:val="32"/>
          <w:lang w:val="en-US" w:eastAsia="zh-CN" w:bidi="ar-SA"/>
        </w:rPr>
        <w:t>各镇要落实属地责任，成立工作专班，协调做好项目征地、工程施工、日常监督、宣传发动、民事纠纷等方面的工作。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（二）强化责任落实。</w:t>
      </w:r>
      <w:r>
        <w:rPr>
          <w:rFonts w:hint="eastAsia" w:ascii="仿宋_GB2312" w:hAnsi="仿宋_GB2312" w:eastAsia="仿宋_GB2312" w:cs="仿宋_GB2312"/>
          <w:kern w:val="2"/>
          <w:sz w:val="32"/>
          <w:szCs w:val="32"/>
          <w:lang w:val="en-US" w:eastAsia="zh-CN" w:bidi="ar-SA"/>
        </w:rPr>
        <w:t>针对农村生活污水治理工程涉及的污水场站、泵站等用地征地问题，各镇要全力攻坚，按时完成征地任务；针对农污项目审批事宜，各相关部门要围绕各自职能做好审批服务，强化沟通协作，合力推进农村生活污水治理提升治理试点任务。</w:t>
      </w:r>
    </w:p>
    <w:p>
      <w:pPr>
        <w:pageBreakBefore w:val="0"/>
        <w:widowControl w:val="0"/>
        <w:kinsoku/>
        <w:wordWrap/>
        <w:overflowPunct/>
        <w:topLinePunct w:val="0"/>
        <w:autoSpaceDE/>
        <w:autoSpaceDN/>
        <w:bidi w:val="0"/>
        <w:adjustRightInd w:val="0"/>
        <w:snapToGrid w:val="0"/>
        <w:spacing w:before="0" w:after="0" w:line="560" w:lineRule="exact"/>
        <w:ind w:left="0" w:leftChars="0" w:right="0" w:firstLine="643" w:firstLineChars="200"/>
        <w:jc w:val="both"/>
        <w:textAlignment w:val="auto"/>
        <w:outlineLvl w:val="9"/>
        <w:rPr>
          <w:rFonts w:hint="eastAsia" w:ascii="仿宋_GB2312" w:hAnsi="仿宋_GB2312" w:eastAsia="仿宋_GB2312" w:cs="仿宋_GB2312"/>
          <w:kern w:val="2"/>
          <w:sz w:val="32"/>
          <w:szCs w:val="32"/>
          <w:lang w:val="en-US" w:eastAsia="zh-CN" w:bidi="ar-SA"/>
        </w:rPr>
        <w:sectPr>
          <w:footerReference r:id="rId6" w:type="default"/>
          <w:pgSz w:w="11905" w:h="16838"/>
          <w:pgMar w:top="1701" w:right="1587" w:bottom="1417" w:left="1587" w:header="851" w:footer="992" w:gutter="0"/>
          <w:pgNumType w:fmt="decimal"/>
          <w:cols w:space="0" w:num="1"/>
          <w:rtlGutter w:val="0"/>
          <w:docGrid w:type="lines" w:linePitch="443" w:charSpace="0"/>
        </w:sectPr>
      </w:pPr>
      <w:r>
        <w:rPr>
          <w:rFonts w:hint="eastAsia" w:ascii="楷体_GB2312" w:hAnsi="楷体_GB2312" w:eastAsia="楷体_GB2312" w:cs="楷体_GB2312"/>
          <w:b/>
          <w:bCs/>
          <w:kern w:val="2"/>
          <w:sz w:val="32"/>
          <w:szCs w:val="32"/>
          <w:lang w:val="en-US" w:eastAsia="zh-CN" w:bidi="ar-SA"/>
        </w:rPr>
        <w:t>（三）开展督查考评。</w:t>
      </w:r>
      <w:r>
        <w:rPr>
          <w:rFonts w:hint="eastAsia" w:ascii="仿宋_GB2312" w:hAnsi="仿宋_GB2312" w:eastAsia="仿宋_GB2312" w:cs="仿宋_GB2312"/>
          <w:kern w:val="2"/>
          <w:sz w:val="32"/>
          <w:szCs w:val="32"/>
          <w:lang w:val="en-US" w:eastAsia="zh-CN" w:bidi="ar-SA"/>
        </w:rPr>
        <w:t>秀屿生态环境局会同区住建局按月对重点任务开展调度、督办，对工作推进不力的责任人，提请区效能办进行通报约谈。</w:t>
      </w:r>
    </w:p>
    <w:p>
      <w:pPr>
        <w:adjustRightInd w:val="0"/>
        <w:snapToGrid w:val="0"/>
        <w:spacing w:line="300" w:lineRule="auto"/>
        <w:rPr>
          <w:rFonts w:ascii="黑体" w:hAnsi="Calibri" w:eastAsia="黑体"/>
          <w:sz w:val="32"/>
          <w:szCs w:val="32"/>
        </w:rPr>
      </w:pPr>
      <w:r>
        <w:rPr>
          <w:rFonts w:hint="eastAsia" w:ascii="黑体" w:hAnsi="Calibri" w:eastAsia="黑体"/>
          <w:sz w:val="32"/>
          <w:szCs w:val="32"/>
        </w:rPr>
        <w:t>附件</w:t>
      </w:r>
      <w:r>
        <w:rPr>
          <w:rFonts w:hint="eastAsia" w:ascii="黑体" w:hAnsi="Calibri" w:eastAsia="黑体"/>
          <w:sz w:val="32"/>
          <w:szCs w:val="32"/>
          <w:lang w:val="en-US" w:eastAsia="zh-CN"/>
        </w:rPr>
        <w:t>4</w:t>
      </w:r>
    </w:p>
    <w:p>
      <w:pPr>
        <w:adjustRightInd w:val="0"/>
        <w:snapToGrid w:val="0"/>
        <w:spacing w:line="300" w:lineRule="auto"/>
        <w:rPr>
          <w:rFonts w:ascii="黑体" w:hAnsi="Calibri" w:eastAsia="黑体"/>
          <w:sz w:val="28"/>
          <w:szCs w:val="28"/>
        </w:rPr>
      </w:pPr>
    </w:p>
    <w:p>
      <w:pPr>
        <w:adjustRightInd w:val="0"/>
        <w:snapToGrid w:val="0"/>
        <w:spacing w:line="300" w:lineRule="auto"/>
        <w:rPr>
          <w:rFonts w:ascii="黑体" w:hAnsi="Calibri" w:eastAsia="黑体"/>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秀屿区农村生活污水提升治理重点任务细化分解表</w:t>
      </w:r>
    </w:p>
    <w:tbl>
      <w:tblPr>
        <w:tblStyle w:val="10"/>
        <w:tblW w:w="132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32"/>
        <w:gridCol w:w="7590"/>
        <w:gridCol w:w="2082"/>
        <w:gridCol w:w="22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1" w:hRule="atLeast"/>
          <w:tblHeader/>
          <w:jc w:val="center"/>
        </w:trPr>
        <w:tc>
          <w:tcPr>
            <w:tcW w:w="1332" w:type="dxa"/>
            <w:vAlign w:val="center"/>
          </w:tcPr>
          <w:p>
            <w:pPr>
              <w:adjustRightInd w:val="0"/>
              <w:snapToGrid w:val="0"/>
              <w:jc w:val="center"/>
              <w:rPr>
                <w:rFonts w:ascii="楷体_GB2312" w:hAnsi="Calibri" w:eastAsia="楷体_GB2312" w:cs="楷体_GB2312"/>
                <w:sz w:val="24"/>
                <w:szCs w:val="24"/>
              </w:rPr>
            </w:pPr>
            <w:r>
              <w:rPr>
                <w:rFonts w:hint="eastAsia" w:ascii="黑体" w:hAnsi="Calibri" w:eastAsia="黑体"/>
                <w:sz w:val="24"/>
                <w:szCs w:val="24"/>
              </w:rPr>
              <w:t>主要任务</w:t>
            </w:r>
          </w:p>
        </w:tc>
        <w:tc>
          <w:tcPr>
            <w:tcW w:w="7590" w:type="dxa"/>
            <w:vAlign w:val="center"/>
          </w:tcPr>
          <w:p>
            <w:pPr>
              <w:adjustRightInd w:val="0"/>
              <w:snapToGrid w:val="0"/>
              <w:jc w:val="center"/>
              <w:rPr>
                <w:rFonts w:ascii="黑体" w:hAnsi="Calibri" w:eastAsia="黑体"/>
                <w:sz w:val="24"/>
                <w:szCs w:val="24"/>
              </w:rPr>
            </w:pPr>
            <w:r>
              <w:rPr>
                <w:rFonts w:hint="eastAsia" w:ascii="黑体" w:hAnsi="Calibri" w:eastAsia="黑体"/>
                <w:sz w:val="24"/>
                <w:szCs w:val="24"/>
              </w:rPr>
              <w:t>具体要求</w:t>
            </w:r>
          </w:p>
        </w:tc>
        <w:tc>
          <w:tcPr>
            <w:tcW w:w="2082" w:type="dxa"/>
            <w:vAlign w:val="center"/>
          </w:tcPr>
          <w:p>
            <w:pPr>
              <w:adjustRightInd w:val="0"/>
              <w:snapToGrid w:val="0"/>
              <w:jc w:val="center"/>
              <w:rPr>
                <w:rFonts w:ascii="黑体" w:hAnsi="Calibri" w:eastAsia="黑体"/>
                <w:sz w:val="24"/>
                <w:szCs w:val="24"/>
              </w:rPr>
            </w:pPr>
            <w:r>
              <w:rPr>
                <w:rFonts w:hint="eastAsia" w:ascii="黑体" w:eastAsia="黑体"/>
                <w:sz w:val="24"/>
                <w:szCs w:val="24"/>
                <w:lang w:val="en-US" w:eastAsia="zh-CN"/>
              </w:rPr>
              <w:t>牵头</w:t>
            </w:r>
            <w:r>
              <w:rPr>
                <w:rFonts w:hint="eastAsia" w:ascii="黑体" w:hAnsi="Calibri" w:eastAsia="黑体"/>
                <w:sz w:val="24"/>
                <w:szCs w:val="24"/>
              </w:rPr>
              <w:t>单位</w:t>
            </w:r>
          </w:p>
        </w:tc>
        <w:tc>
          <w:tcPr>
            <w:tcW w:w="2204" w:type="dxa"/>
            <w:vAlign w:val="center"/>
          </w:tcPr>
          <w:p>
            <w:pPr>
              <w:adjustRightInd w:val="0"/>
              <w:snapToGrid w:val="0"/>
              <w:jc w:val="center"/>
              <w:rPr>
                <w:rFonts w:hint="eastAsia" w:ascii="黑体" w:eastAsia="黑体"/>
                <w:sz w:val="24"/>
                <w:szCs w:val="24"/>
              </w:rPr>
            </w:pPr>
            <w:r>
              <w:rPr>
                <w:rFonts w:hint="eastAsia" w:ascii="黑体" w:eastAsia="黑体"/>
                <w:sz w:val="24"/>
                <w:szCs w:val="24"/>
              </w:rPr>
              <w:t>责任</w:t>
            </w:r>
            <w:r>
              <w:rPr>
                <w:rFonts w:hint="eastAsia" w:ascii="黑体" w:hAnsi="Calibri" w:eastAsia="黑体"/>
                <w:sz w:val="24"/>
                <w:szCs w:val="24"/>
              </w:rPr>
              <w:t>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75" w:hRule="atLeast"/>
          <w:jc w:val="center"/>
        </w:trPr>
        <w:tc>
          <w:tcPr>
            <w:tcW w:w="1332" w:type="dxa"/>
            <w:vMerge w:val="restart"/>
            <w:vAlign w:val="center"/>
          </w:tcPr>
          <w:p>
            <w:pPr>
              <w:adjustRightInd w:val="0"/>
              <w:snapToGrid w:val="0"/>
              <w:jc w:val="left"/>
              <w:rPr>
                <w:rFonts w:ascii="楷体_GB2312" w:hAnsi="Calibri" w:eastAsia="楷体_GB2312" w:cs="楷体_GB2312"/>
                <w:b/>
                <w:sz w:val="24"/>
                <w:szCs w:val="24"/>
              </w:rPr>
            </w:pPr>
            <w:r>
              <w:rPr>
                <w:rFonts w:hint="eastAsia" w:ascii="楷体_GB2312" w:hAnsi="Calibri" w:eastAsia="楷体_GB2312" w:cs="楷体_GB2312"/>
                <w:b/>
                <w:sz w:val="24"/>
                <w:szCs w:val="24"/>
              </w:rPr>
              <w:t>（一）编制专项规划</w:t>
            </w: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1.规划</w:t>
            </w:r>
            <w:r>
              <w:rPr>
                <w:rFonts w:hint="eastAsia" w:ascii="仿宋_GB2312" w:eastAsia="仿宋_GB2312"/>
                <w:sz w:val="24"/>
                <w:szCs w:val="24"/>
              </w:rPr>
              <w:t>编制</w:t>
            </w:r>
            <w:r>
              <w:rPr>
                <w:rFonts w:hint="eastAsia" w:ascii="仿宋_GB2312" w:hAnsi="Calibri" w:eastAsia="仿宋_GB2312"/>
                <w:sz w:val="24"/>
                <w:szCs w:val="24"/>
              </w:rPr>
              <w:t>。全面调查分析村庄演变趋势、人口分布、地形地貌、治理现状、治理需求等，开展已建设施及管网“回头看”，统筹供水与排水、城镇与村庄、新建与已建、设施与管网、建设与运维，合理确定治理模式、目标任务，完善县域农村生活污水治理规划或方案，并将工作任务细化到自然村。</w:t>
            </w:r>
          </w:p>
        </w:tc>
        <w:tc>
          <w:tcPr>
            <w:tcW w:w="2082" w:type="dxa"/>
            <w:vAlign w:val="center"/>
          </w:tcPr>
          <w:p>
            <w:pPr>
              <w:topLinePunct/>
              <w:autoSpaceDE w:val="0"/>
              <w:adjustRightInd w:val="0"/>
              <w:snapToGrid w:val="0"/>
              <w:rPr>
                <w:rFonts w:ascii="仿宋_GB2312" w:hAnsi="Calibri"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农业农村</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卫健</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水利</w:t>
            </w:r>
            <w:r>
              <w:rPr>
                <w:rFonts w:hint="eastAsia" w:ascii="仿宋_GB2312" w:eastAsia="仿宋_GB2312"/>
                <w:sz w:val="24"/>
                <w:szCs w:val="24"/>
              </w:rPr>
              <w:t>局、各镇人民政府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9" w:hRule="atLeast"/>
          <w:jc w:val="center"/>
        </w:trPr>
        <w:tc>
          <w:tcPr>
            <w:tcW w:w="1332" w:type="dxa"/>
            <w:vMerge w:val="continue"/>
            <w:vAlign w:val="center"/>
          </w:tcPr>
          <w:p>
            <w:pPr>
              <w:rPr>
                <w:rFonts w:ascii="Calibri" w:hAnsi="Calibri"/>
                <w:szCs w:val="24"/>
              </w:rPr>
            </w:pP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2.规划衔接。农村生活污水治理规划是乡村振兴总体规划的重要组成部分，要充分利用现有工作基础，与乡村振兴规划、国土空间规划、村庄规划、城乡供排水规划、农田水利建设规划、乡村旅游规划等互相衔接，确保布局一致，项目、工程和政策联动。新编或修编相关规划的，要与农村生活污水治理规划有效衔接。</w:t>
            </w:r>
          </w:p>
        </w:tc>
        <w:tc>
          <w:tcPr>
            <w:tcW w:w="2082" w:type="dxa"/>
            <w:vAlign w:val="center"/>
          </w:tcPr>
          <w:p>
            <w:pPr>
              <w:topLinePunct/>
              <w:autoSpaceDE w:val="0"/>
              <w:adjustRightInd w:val="0"/>
              <w:snapToGrid w:val="0"/>
              <w:rPr>
                <w:rFonts w:ascii="仿宋_GB2312" w:hAnsi="Calibri"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自然资源</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农业农村</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水利</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文旅</w:t>
            </w:r>
            <w:r>
              <w:rPr>
                <w:rFonts w:hint="eastAsia" w:ascii="仿宋_GB2312" w:eastAsia="仿宋_GB2312"/>
                <w:sz w:val="24"/>
                <w:szCs w:val="24"/>
              </w:rPr>
              <w:t>局、各镇人民政府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33" w:hRule="atLeast"/>
          <w:jc w:val="center"/>
        </w:trPr>
        <w:tc>
          <w:tcPr>
            <w:tcW w:w="1332" w:type="dxa"/>
            <w:vMerge w:val="continue"/>
            <w:vAlign w:val="center"/>
          </w:tcPr>
          <w:p>
            <w:pPr>
              <w:rPr>
                <w:rFonts w:ascii="Calibri" w:hAnsi="Calibri"/>
                <w:szCs w:val="24"/>
              </w:rPr>
            </w:pP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3.规划执行。将农村生活污水治理作为国民经济和社会发展规划、乡村振兴规划、乡村建设行动、城乡建设品质提升的实施重点</w:t>
            </w:r>
            <w:r>
              <w:rPr>
                <w:rFonts w:hint="eastAsia" w:ascii="仿宋_GB2312" w:eastAsia="仿宋_GB2312"/>
                <w:sz w:val="24"/>
                <w:szCs w:val="24"/>
              </w:rPr>
              <w:t>。落实</w:t>
            </w:r>
            <w:r>
              <w:rPr>
                <w:rFonts w:hint="eastAsia" w:ascii="仿宋_GB2312" w:hAnsi="Calibri" w:eastAsia="仿宋_GB2312"/>
                <w:sz w:val="24"/>
                <w:szCs w:val="24"/>
              </w:rPr>
              <w:t>“一</w:t>
            </w:r>
            <w:r>
              <w:rPr>
                <w:rFonts w:hint="eastAsia" w:ascii="仿宋_GB2312" w:eastAsia="仿宋_GB2312"/>
                <w:sz w:val="24"/>
                <w:szCs w:val="24"/>
              </w:rPr>
              <w:t>区</w:t>
            </w:r>
            <w:r>
              <w:rPr>
                <w:rFonts w:hint="eastAsia" w:ascii="仿宋_GB2312" w:hAnsi="Calibri" w:eastAsia="仿宋_GB2312"/>
                <w:sz w:val="24"/>
                <w:szCs w:val="24"/>
              </w:rPr>
              <w:t>一规划、一镇一方案、一村（自然村）一设计”，根据规划目标任务和上级工作要求，科学、合理制定各年度工作计划，并充分征求乡镇、村的建设建议意见。</w:t>
            </w:r>
          </w:p>
        </w:tc>
        <w:tc>
          <w:tcPr>
            <w:tcW w:w="208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发改</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农业农村</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卫健</w:t>
            </w:r>
            <w:r>
              <w:rPr>
                <w:rFonts w:hint="eastAsia" w:ascii="仿宋_GB2312" w:eastAsia="仿宋_GB2312"/>
                <w:sz w:val="24"/>
                <w:szCs w:val="24"/>
              </w:rPr>
              <w:t>局、各镇人民政府、上航水环境公司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65" w:hRule="atLeast"/>
          <w:jc w:val="center"/>
        </w:trPr>
        <w:tc>
          <w:tcPr>
            <w:tcW w:w="1332" w:type="dxa"/>
            <w:vMerge w:val="restart"/>
            <w:vAlign w:val="center"/>
          </w:tcPr>
          <w:p>
            <w:pPr>
              <w:adjustRightInd w:val="0"/>
              <w:snapToGrid w:val="0"/>
              <w:jc w:val="left"/>
              <w:rPr>
                <w:rFonts w:ascii="楷体_GB2312" w:hAnsi="Calibri" w:eastAsia="楷体_GB2312" w:cs="楷体_GB2312"/>
                <w:sz w:val="24"/>
                <w:szCs w:val="24"/>
              </w:rPr>
            </w:pPr>
            <w:r>
              <w:rPr>
                <w:rFonts w:hint="eastAsia" w:ascii="楷体_GB2312" w:hAnsi="Calibri" w:eastAsia="楷体_GB2312" w:cs="楷体_GB2312"/>
                <w:b/>
                <w:sz w:val="24"/>
                <w:szCs w:val="24"/>
              </w:rPr>
              <w:t>（二）实施精准治理</w:t>
            </w: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4.合理确定技术路线。根据地形地貌、人口分布、施工条件等，合理选择、灵活组合“纳厂、集中、分散”等技术路线，科学确定设施规模和数量，实施精准治理，力争完成治理的村庄，通过“纳厂、集中、分散”实现处理的总户数占该村庄常住户数90%以上。</w:t>
            </w:r>
            <w:r>
              <w:rPr>
                <w:rFonts w:hint="eastAsia" w:ascii="仿宋_GB2312" w:hAnsi="Calibri" w:eastAsia="仿宋_GB2312"/>
                <w:color w:val="auto"/>
                <w:sz w:val="24"/>
                <w:szCs w:val="24"/>
              </w:rPr>
              <w:t>市政污水管网已覆盖区域优先采用纳厂即纳入城镇污水处理厂集中处理为主，对于个别难于纳厂、具备允许尾水排放条件的</w:t>
            </w:r>
            <w:r>
              <w:rPr>
                <w:rFonts w:hint="eastAsia" w:ascii="仿宋_GB2312" w:eastAsia="仿宋_GB2312"/>
                <w:color w:val="auto"/>
                <w:sz w:val="24"/>
                <w:szCs w:val="24"/>
              </w:rPr>
              <w:t>村庄</w:t>
            </w:r>
            <w:r>
              <w:rPr>
                <w:rFonts w:hint="eastAsia" w:ascii="仿宋_GB2312" w:hAnsi="Calibri" w:eastAsia="仿宋_GB2312"/>
                <w:color w:val="auto"/>
                <w:sz w:val="24"/>
                <w:szCs w:val="24"/>
              </w:rPr>
              <w:t>可以建设集中式污水处理设施，但尾水必须做到达标排放或处理达标后排入农田、林地消纳。</w:t>
            </w:r>
          </w:p>
        </w:tc>
        <w:tc>
          <w:tcPr>
            <w:tcW w:w="208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卫健</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农业农村</w:t>
            </w:r>
            <w:r>
              <w:rPr>
                <w:rFonts w:hint="eastAsia" w:ascii="仿宋_GB2312" w:eastAsia="仿宋_GB2312"/>
                <w:sz w:val="24"/>
                <w:szCs w:val="24"/>
              </w:rPr>
              <w:t>局、各镇人民政府、上航水环境公司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0" w:hRule="atLeast"/>
          <w:jc w:val="center"/>
        </w:trPr>
        <w:tc>
          <w:tcPr>
            <w:tcW w:w="1332" w:type="dxa"/>
            <w:vMerge w:val="continue"/>
            <w:vAlign w:val="center"/>
          </w:tcPr>
          <w:p>
            <w:pPr>
              <w:rPr>
                <w:rFonts w:ascii="Calibri" w:hAnsi="Calibri"/>
                <w:szCs w:val="24"/>
              </w:rPr>
            </w:pP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5.优选适用工艺设备。根据处理规模、排放要求，因地制宜采用污染治理与资源利用相结合、集中与分散相结合的方式，优选低成本、低能耗、易维护、高效率的技术工艺设备，防止片面追求“高大上”。鼓励同区域、同类型的村庄技术工艺设备相对统一，减轻后期运维难度。对节假日人口“潮汐”现象明显的</w:t>
            </w:r>
            <w:r>
              <w:rPr>
                <w:rFonts w:hint="eastAsia" w:ascii="仿宋_GB2312" w:eastAsia="仿宋_GB2312"/>
                <w:sz w:val="24"/>
                <w:szCs w:val="24"/>
              </w:rPr>
              <w:t>村庄</w:t>
            </w:r>
            <w:r>
              <w:rPr>
                <w:rFonts w:hint="eastAsia" w:ascii="仿宋_GB2312" w:hAnsi="Calibri" w:eastAsia="仿宋_GB2312"/>
                <w:sz w:val="24"/>
                <w:szCs w:val="24"/>
              </w:rPr>
              <w:t>，应合理设计调节池等处理设施规模，适当扩大容积。对农村经营活动产生的污水，应充分论证并预处理达到要求后，方可接入。</w:t>
            </w:r>
          </w:p>
        </w:tc>
        <w:tc>
          <w:tcPr>
            <w:tcW w:w="208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农业农村</w:t>
            </w:r>
            <w:r>
              <w:rPr>
                <w:rFonts w:hint="eastAsia" w:ascii="仿宋_GB2312" w:eastAsia="仿宋_GB2312"/>
                <w:sz w:val="24"/>
                <w:szCs w:val="24"/>
              </w:rPr>
              <w:t>局、各镇人民政府、上航水环境公司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9" w:hRule="atLeast"/>
          <w:jc w:val="center"/>
        </w:trPr>
        <w:tc>
          <w:tcPr>
            <w:tcW w:w="1332" w:type="dxa"/>
            <w:vMerge w:val="continue"/>
            <w:vAlign w:val="center"/>
          </w:tcPr>
          <w:p>
            <w:pPr>
              <w:rPr>
                <w:rFonts w:ascii="Calibri" w:hAnsi="Calibri"/>
                <w:szCs w:val="24"/>
              </w:rPr>
            </w:pP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6.鼓励开展资源化利用。鼓励农户利用房前屋后菜园、果园、花园等就近消纳三格化粪池尾水。鼓励高标准农田建设、农田水利建设与农村生活污水治理相结合，统一规划、一体设计，将集中式污水处理设施尾水回用于绿化、景观、灌溉等，实现农业农村水资源的良性循环。鼓励探索污泥处置模式</w:t>
            </w:r>
            <w:r>
              <w:rPr>
                <w:rFonts w:hint="eastAsia" w:ascii="仿宋_GB2312" w:eastAsia="仿宋_GB2312"/>
                <w:sz w:val="24"/>
                <w:szCs w:val="24"/>
              </w:rPr>
              <w:t>、</w:t>
            </w:r>
            <w:r>
              <w:rPr>
                <w:rFonts w:hint="eastAsia" w:ascii="仿宋_GB2312" w:hAnsi="Calibri" w:eastAsia="仿宋_GB2312"/>
                <w:sz w:val="24"/>
                <w:szCs w:val="24"/>
              </w:rPr>
              <w:t>开展污泥与秸秆综合利用。</w:t>
            </w:r>
          </w:p>
        </w:tc>
        <w:tc>
          <w:tcPr>
            <w:tcW w:w="2082" w:type="dxa"/>
            <w:vAlign w:val="center"/>
          </w:tcPr>
          <w:p>
            <w:pPr>
              <w:topLinePunct/>
              <w:autoSpaceDE w:val="0"/>
              <w:adjustRightInd w:val="0"/>
              <w:snapToGrid w:val="0"/>
              <w:rPr>
                <w:rFonts w:ascii="仿宋_GB2312" w:hAnsi="Calibri"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区</w:t>
            </w:r>
            <w:r>
              <w:rPr>
                <w:rFonts w:hint="eastAsia" w:ascii="仿宋_GB2312" w:hAnsi="Calibri" w:eastAsia="仿宋_GB2312"/>
                <w:sz w:val="24"/>
                <w:szCs w:val="24"/>
              </w:rPr>
              <w:t>农业农村</w:t>
            </w:r>
            <w:r>
              <w:rPr>
                <w:rFonts w:hint="eastAsia" w:ascii="仿宋_GB2312" w:eastAsia="仿宋_GB2312"/>
                <w:sz w:val="24"/>
                <w:szCs w:val="24"/>
              </w:rPr>
              <w:t>局</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水利</w:t>
            </w:r>
            <w:r>
              <w:rPr>
                <w:rFonts w:hint="eastAsia" w:ascii="仿宋_GB2312" w:eastAsia="仿宋_GB2312"/>
                <w:sz w:val="24"/>
                <w:szCs w:val="24"/>
              </w:rPr>
              <w:t>局、各镇人民政府、上航水环境公司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19" w:hRule="atLeast"/>
          <w:jc w:val="center"/>
        </w:trPr>
        <w:tc>
          <w:tcPr>
            <w:tcW w:w="1332" w:type="dxa"/>
            <w:vMerge w:val="continue"/>
            <w:vAlign w:val="center"/>
          </w:tcPr>
          <w:p>
            <w:pPr>
              <w:rPr>
                <w:rFonts w:ascii="Calibri" w:hAnsi="Calibri"/>
                <w:szCs w:val="24"/>
              </w:rPr>
            </w:pP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7.实施存量提升治理。对已开展治理的村庄，按照合理确定的技术路线、适用工艺设备和资源化利用路径，有序分批实施提升治理工程，重点完善设施提升，开展全链条治理。</w:t>
            </w:r>
            <w:r>
              <w:rPr>
                <w:rFonts w:hint="eastAsia" w:ascii="仿宋_GB2312" w:hAnsi="Calibri" w:eastAsia="仿宋_GB2312"/>
                <w:sz w:val="24"/>
                <w:szCs w:val="24"/>
                <w:lang w:val="en-US" w:eastAsia="zh-CN"/>
              </w:rPr>
              <w:t>区住建局要指导督促上航水环境公司</w:t>
            </w:r>
            <w:r>
              <w:rPr>
                <w:rFonts w:hint="eastAsia" w:ascii="仿宋_GB2312" w:hAnsi="Calibri" w:eastAsia="仿宋_GB2312"/>
                <w:sz w:val="24"/>
                <w:szCs w:val="24"/>
              </w:rPr>
              <w:t>以雨污分流为主</w:t>
            </w:r>
            <w:r>
              <w:rPr>
                <w:rFonts w:hint="eastAsia" w:ascii="仿宋_GB2312" w:hAnsi="Calibri" w:eastAsia="仿宋_GB2312"/>
                <w:sz w:val="24"/>
                <w:szCs w:val="24"/>
                <w:lang w:val="en-US" w:eastAsia="zh-CN"/>
              </w:rPr>
              <w:t>开展</w:t>
            </w:r>
            <w:r>
              <w:rPr>
                <w:rFonts w:hint="eastAsia" w:ascii="仿宋_GB2312" w:hAnsi="Calibri" w:eastAsia="仿宋_GB2312"/>
                <w:sz w:val="24"/>
                <w:szCs w:val="24"/>
              </w:rPr>
              <w:t>配套管网建设，各镇要同步开展厕所化粪池尾水、厨房废水、洗涤废水等“三水”均接提升改造工作，按照2025年全面完成的总体目标分期分批实施。</w:t>
            </w:r>
          </w:p>
        </w:tc>
        <w:tc>
          <w:tcPr>
            <w:tcW w:w="208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eastAsia="仿宋_GB2312"/>
                <w:sz w:val="24"/>
                <w:szCs w:val="24"/>
              </w:rPr>
              <w:t>秀屿</w:t>
            </w:r>
            <w:r>
              <w:rPr>
                <w:rFonts w:hint="eastAsia" w:ascii="仿宋_GB2312" w:hAnsi="Calibri" w:eastAsia="仿宋_GB2312"/>
                <w:sz w:val="24"/>
                <w:szCs w:val="24"/>
              </w:rPr>
              <w:t>生态环境局</w:t>
            </w:r>
            <w:r>
              <w:rPr>
                <w:rFonts w:hint="eastAsia" w:ascii="仿宋_GB2312" w:hAnsi="Calibri" w:eastAsia="仿宋_GB2312"/>
                <w:sz w:val="24"/>
                <w:szCs w:val="24"/>
                <w:lang w:eastAsia="zh-CN"/>
              </w:rPr>
              <w:t>、</w:t>
            </w:r>
            <w:r>
              <w:rPr>
                <w:rFonts w:hint="eastAsia" w:ascii="仿宋_GB2312" w:eastAsia="仿宋_GB2312"/>
                <w:sz w:val="24"/>
                <w:szCs w:val="24"/>
              </w:rPr>
              <w:t>区</w:t>
            </w:r>
            <w:r>
              <w:rPr>
                <w:rFonts w:hint="eastAsia" w:ascii="仿宋_GB2312" w:hAnsi="Calibri" w:eastAsia="仿宋_GB2312"/>
                <w:sz w:val="24"/>
                <w:szCs w:val="24"/>
              </w:rPr>
              <w:t>住建局</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卫健</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农业农村局</w:t>
            </w:r>
            <w:r>
              <w:rPr>
                <w:rFonts w:hint="eastAsia" w:ascii="仿宋_GB2312" w:eastAsia="仿宋_GB2312"/>
                <w:sz w:val="24"/>
                <w:szCs w:val="24"/>
              </w:rPr>
              <w:t>、各镇人民政府、上航水环境公司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13" w:hRule="atLeast"/>
          <w:jc w:val="center"/>
        </w:trPr>
        <w:tc>
          <w:tcPr>
            <w:tcW w:w="1332" w:type="dxa"/>
            <w:vMerge w:val="restart"/>
            <w:vAlign w:val="center"/>
          </w:tcPr>
          <w:p>
            <w:pPr>
              <w:adjustRightInd w:val="0"/>
              <w:snapToGrid w:val="0"/>
              <w:jc w:val="left"/>
              <w:rPr>
                <w:rFonts w:ascii="楷体_GB2312" w:hAnsi="Calibri" w:eastAsia="楷体_GB2312" w:cs="楷体_GB2312"/>
                <w:sz w:val="24"/>
                <w:szCs w:val="24"/>
              </w:rPr>
            </w:pPr>
            <w:r>
              <w:rPr>
                <w:rFonts w:hint="eastAsia" w:ascii="楷体_GB2312" w:hAnsi="Calibri" w:eastAsia="楷体_GB2312" w:cs="楷体_GB2312"/>
                <w:b/>
                <w:sz w:val="24"/>
                <w:szCs w:val="24"/>
              </w:rPr>
              <w:t>（三）规范建设运维</w:t>
            </w: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8.做好前期工作。</w:t>
            </w:r>
            <w:r>
              <w:rPr>
                <w:rFonts w:hint="eastAsia" w:ascii="仿宋_GB2312" w:hAnsi="Calibri" w:eastAsia="仿宋_GB2312"/>
                <w:color w:val="auto"/>
                <w:sz w:val="24"/>
                <w:szCs w:val="24"/>
              </w:rPr>
              <w:t>在摸清辖区内已建污水管网及小型集中污水处理设施建设运行情况的基础上，根据规划目标、辖区内水环境质量要求，进一步完善规划设计。将治理项目整体打包、统一报批相关审批手续，支持采取</w:t>
            </w:r>
            <w:r>
              <w:rPr>
                <w:rFonts w:hint="eastAsia" w:ascii="仿宋_GB2312" w:hAnsi="Calibri" w:eastAsia="仿宋_GB2312"/>
                <w:color w:val="auto"/>
                <w:sz w:val="24"/>
                <w:szCs w:val="24"/>
                <w:lang w:val="en-US" w:eastAsia="zh-CN"/>
              </w:rPr>
              <w:t>并联审批</w:t>
            </w:r>
            <w:r>
              <w:rPr>
                <w:rFonts w:hint="eastAsia" w:ascii="仿宋_GB2312" w:hAnsi="Calibri" w:eastAsia="仿宋_GB2312"/>
                <w:color w:val="auto"/>
                <w:sz w:val="24"/>
                <w:szCs w:val="24"/>
              </w:rPr>
              <w:t>、告知承诺等措施，依法优化项目审批事项。</w:t>
            </w:r>
          </w:p>
        </w:tc>
        <w:tc>
          <w:tcPr>
            <w:tcW w:w="2082" w:type="dxa"/>
            <w:vAlign w:val="center"/>
          </w:tcPr>
          <w:p>
            <w:pPr>
              <w:topLinePunct/>
              <w:autoSpaceDE w:val="0"/>
              <w:adjustRightInd w:val="0"/>
              <w:snapToGrid w:val="0"/>
              <w:rPr>
                <w:rFonts w:ascii="仿宋_GB2312" w:hAnsi="Calibri"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发改</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自然资源</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r>
              <w:rPr>
                <w:rFonts w:hint="eastAsia" w:ascii="仿宋_GB2312" w:eastAsia="仿宋_GB2312"/>
                <w:sz w:val="24"/>
                <w:szCs w:val="24"/>
                <w:lang w:eastAsia="zh-CN"/>
              </w:rPr>
              <w:t>、</w:t>
            </w:r>
            <w:r>
              <w:rPr>
                <w:rFonts w:hint="eastAsia" w:ascii="仿宋_GB2312" w:eastAsia="仿宋_GB2312"/>
                <w:sz w:val="24"/>
                <w:szCs w:val="24"/>
              </w:rPr>
              <w:t>各镇人民政府、上航水环境公司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0" w:hRule="atLeast"/>
          <w:jc w:val="center"/>
        </w:trPr>
        <w:tc>
          <w:tcPr>
            <w:tcW w:w="1332" w:type="dxa"/>
            <w:vMerge w:val="continue"/>
            <w:vAlign w:val="center"/>
          </w:tcPr>
          <w:p>
            <w:pPr>
              <w:rPr>
                <w:rFonts w:ascii="Calibri" w:hAnsi="Calibri"/>
                <w:szCs w:val="24"/>
              </w:rPr>
            </w:pP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9.规范工程建设。</w:t>
            </w:r>
            <w:r>
              <w:rPr>
                <w:rFonts w:hint="eastAsia" w:ascii="仿宋_GB2312" w:eastAsia="仿宋_GB2312"/>
                <w:sz w:val="24"/>
                <w:szCs w:val="24"/>
              </w:rPr>
              <w:t>上航水环境公司</w:t>
            </w:r>
            <w:r>
              <w:rPr>
                <w:rFonts w:hint="eastAsia" w:ascii="仿宋_GB2312" w:hAnsi="Calibri" w:eastAsia="仿宋_GB2312"/>
                <w:color w:val="auto"/>
                <w:sz w:val="24"/>
                <w:szCs w:val="24"/>
              </w:rPr>
              <w:t>作为辖区内农村生活污水治理项目的实施主体，应把工程质量管理作为第一要务，要求严把材料关、质量关和验收关，全程参与辖区内污水处理设施的建设、改造、运行、维护。同时，</w:t>
            </w:r>
            <w:r>
              <w:rPr>
                <w:rFonts w:hint="eastAsia" w:ascii="仿宋_GB2312" w:eastAsia="仿宋_GB2312"/>
                <w:color w:val="auto"/>
                <w:sz w:val="24"/>
                <w:szCs w:val="24"/>
              </w:rPr>
              <w:t>由区住建局</w:t>
            </w:r>
            <w:r>
              <w:rPr>
                <w:rFonts w:hint="eastAsia" w:ascii="仿宋_GB2312" w:hAnsi="Calibri" w:eastAsia="仿宋_GB2312"/>
                <w:color w:val="auto"/>
                <w:sz w:val="24"/>
                <w:szCs w:val="24"/>
              </w:rPr>
              <w:t>进行工程质量监管，加强项目设计、招投标、施工、监理、竣工验收等全过程监管，并由专业监理和“民间监理”相结合，重点抓好接户、材料、隐蔽工程、终端设施、闭水试验、竣工验收等环节，确保新建或改造后的处理设施进水正常、出水达标。严格质量终身责任追究制，在工程设计使用年限内一旦发生重大质量事故，严肃追究责任、依法处理。其中责令停业整顿、降低资质等级和吊销资质证书的行政处罚由颁发该资质证书的机关作出决定。项目业主应及时组织项目工程竣工及环保等验收，可根据建设进度分批、分期组织开展。实行“一项目一档案”，存档备查。</w:t>
            </w:r>
          </w:p>
        </w:tc>
        <w:tc>
          <w:tcPr>
            <w:tcW w:w="2082" w:type="dxa"/>
            <w:vAlign w:val="center"/>
          </w:tcPr>
          <w:p>
            <w:pPr>
              <w:topLinePunct/>
              <w:autoSpaceDE w:val="0"/>
              <w:adjustRightInd w:val="0"/>
              <w:snapToGrid w:val="0"/>
              <w:rPr>
                <w:rFonts w:ascii="仿宋_GB2312" w:hAnsi="Calibri"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秀屿生态环境局、各镇人民政府、上航水环境公司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25" w:hRule="atLeast"/>
          <w:jc w:val="center"/>
        </w:trPr>
        <w:tc>
          <w:tcPr>
            <w:tcW w:w="1332" w:type="dxa"/>
            <w:vMerge w:val="continue"/>
            <w:vAlign w:val="center"/>
          </w:tcPr>
          <w:p>
            <w:pPr>
              <w:rPr>
                <w:rFonts w:ascii="Calibri" w:hAnsi="Calibri"/>
                <w:szCs w:val="24"/>
              </w:rPr>
            </w:pP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10.落实日常运维。承担日常运维的单位要成立专班、指派专人，对处理设施及管网进行日常养护、定期巡查。按要求分级分类安装在线监测或监控设施。定期开展水质检测。发现问题要及时妥善处理，确保污水有效收集、设施正常运行、出水水质达标，</w:t>
            </w:r>
            <w:r>
              <w:rPr>
                <w:rFonts w:hint="eastAsia" w:ascii="仿宋_GB2312" w:eastAsia="仿宋_GB2312"/>
                <w:sz w:val="24"/>
                <w:szCs w:val="24"/>
              </w:rPr>
              <w:t>鼓励</w:t>
            </w:r>
            <w:r>
              <w:rPr>
                <w:rFonts w:hint="eastAsia" w:ascii="仿宋_GB2312" w:hAnsi="Calibri" w:eastAsia="仿宋_GB2312"/>
                <w:sz w:val="24"/>
                <w:szCs w:val="24"/>
              </w:rPr>
              <w:t>开展智慧化管理，提高管理效能、降低运维成本。</w:t>
            </w:r>
          </w:p>
        </w:tc>
        <w:tc>
          <w:tcPr>
            <w:tcW w:w="208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r>
              <w:rPr>
                <w:rFonts w:hint="eastAsia" w:ascii="仿宋_GB2312" w:eastAsia="仿宋_GB2312"/>
                <w:sz w:val="24"/>
                <w:szCs w:val="24"/>
                <w:lang w:eastAsia="zh-CN"/>
              </w:rPr>
              <w:t>、</w:t>
            </w: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各镇人民政府、上航水环境公司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77" w:hRule="atLeast"/>
          <w:jc w:val="center"/>
        </w:trPr>
        <w:tc>
          <w:tcPr>
            <w:tcW w:w="1332" w:type="dxa"/>
            <w:vMerge w:val="restart"/>
            <w:vAlign w:val="center"/>
          </w:tcPr>
          <w:p>
            <w:pPr>
              <w:adjustRightInd w:val="0"/>
              <w:snapToGrid w:val="0"/>
              <w:jc w:val="left"/>
              <w:rPr>
                <w:rFonts w:ascii="楷体_GB2312" w:hAnsi="Calibri" w:eastAsia="楷体_GB2312" w:cs="楷体_GB2312"/>
                <w:b/>
                <w:sz w:val="24"/>
                <w:szCs w:val="24"/>
              </w:rPr>
            </w:pPr>
            <w:r>
              <w:rPr>
                <w:rFonts w:hint="eastAsia" w:ascii="楷体_GB2312" w:hAnsi="Calibri" w:eastAsia="楷体_GB2312" w:cs="楷体_GB2312"/>
                <w:b/>
                <w:sz w:val="24"/>
                <w:szCs w:val="24"/>
              </w:rPr>
              <w:t>（四）提升治理水平</w:t>
            </w: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11.加强协同治理。坚持“规划、设计、建设、运维”统筹考虑，强化部门协作，协同推进农村生活污水治理。农村道路、连片住宅、河道整治、景观工程等镇村项目建设，应同步规划建设农村生活污水处理设施及管网。将农村生活污水治理与农村人居环境综合整治、山水林田湖草系统治理、流域综合治理等捆绑打包、整体治理；与城镇（含乡镇）污水厂网建设有效衔接，加快延伸城镇（含乡镇）污水处理厂管网；与农村户厕改造协同推进，将建设标准三格化粪池、预留化粪池出水口至污水管预留口用地等内容纳入农房建设图集，村庄污水管网优先接纳三格化粪池尾水。</w:t>
            </w:r>
          </w:p>
        </w:tc>
        <w:tc>
          <w:tcPr>
            <w:tcW w:w="208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区</w:t>
            </w:r>
            <w:r>
              <w:rPr>
                <w:rFonts w:hint="eastAsia" w:ascii="仿宋_GB2312" w:hAnsi="Calibri" w:eastAsia="仿宋_GB2312"/>
                <w:sz w:val="24"/>
                <w:szCs w:val="24"/>
              </w:rPr>
              <w:t>农业农村</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hAnsi="Calibri" w:eastAsia="仿宋_GB2312"/>
                <w:sz w:val="24"/>
                <w:szCs w:val="24"/>
                <w:lang w:val="en-US" w:eastAsia="zh-CN"/>
              </w:rPr>
              <w:t xml:space="preserve">  </w:t>
            </w: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hAnsi="Calibri" w:eastAsia="仿宋_GB2312"/>
                <w:sz w:val="24"/>
                <w:szCs w:val="24"/>
                <w:lang w:val="en-US" w:eastAsia="zh-CN"/>
              </w:rPr>
              <w:t xml:space="preserve"> </w:t>
            </w: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自然资源</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水利</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交通运输</w:t>
            </w:r>
            <w:r>
              <w:rPr>
                <w:rFonts w:hint="eastAsia" w:ascii="仿宋_GB2312" w:eastAsia="仿宋_GB2312"/>
                <w:sz w:val="24"/>
                <w:szCs w:val="24"/>
              </w:rPr>
              <w:t>局、各镇人民政府、上航水环境公司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16" w:hRule="atLeast"/>
          <w:jc w:val="center"/>
        </w:trPr>
        <w:tc>
          <w:tcPr>
            <w:tcW w:w="1332" w:type="dxa"/>
            <w:vMerge w:val="continue"/>
            <w:vAlign w:val="center"/>
          </w:tcPr>
          <w:p>
            <w:pPr>
              <w:rPr>
                <w:rFonts w:ascii="Calibri" w:hAnsi="Calibri"/>
                <w:szCs w:val="24"/>
              </w:rPr>
            </w:pP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12.开展试点示范。</w:t>
            </w:r>
            <w:r>
              <w:rPr>
                <w:rFonts w:hint="eastAsia" w:ascii="仿宋_GB2312" w:hAnsi="Calibri" w:eastAsia="仿宋_GB2312"/>
                <w:sz w:val="24"/>
                <w:szCs w:val="24"/>
                <w:lang w:val="en-US" w:eastAsia="zh-CN"/>
              </w:rPr>
              <w:t>积极</w:t>
            </w:r>
            <w:r>
              <w:rPr>
                <w:rFonts w:hint="eastAsia" w:ascii="仿宋_GB2312" w:hAnsi="Calibri" w:eastAsia="仿宋_GB2312"/>
                <w:sz w:val="24"/>
                <w:szCs w:val="24"/>
              </w:rPr>
              <w:t>探索</w:t>
            </w:r>
            <w:r>
              <w:rPr>
                <w:rFonts w:hint="eastAsia" w:ascii="仿宋_GB2312" w:hAnsi="Calibri" w:eastAsia="仿宋_GB2312"/>
                <w:sz w:val="24"/>
                <w:szCs w:val="24"/>
                <w:lang w:val="en-US" w:eastAsia="zh-CN"/>
              </w:rPr>
              <w:t>完善</w:t>
            </w:r>
            <w:r>
              <w:rPr>
                <w:rFonts w:hint="eastAsia" w:ascii="仿宋_GB2312" w:hAnsi="Calibri" w:eastAsia="仿宋_GB2312"/>
                <w:sz w:val="24"/>
                <w:szCs w:val="24"/>
              </w:rPr>
              <w:t>项目打包审批机制、海岛区域适用处理技术工艺，2022年底前总结可复制、可推广的治理经验和模式。</w:t>
            </w:r>
          </w:p>
        </w:tc>
        <w:tc>
          <w:tcPr>
            <w:tcW w:w="208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区住建局、</w:t>
            </w:r>
            <w:r>
              <w:rPr>
                <w:rFonts w:hint="eastAsia" w:ascii="仿宋_GB2312" w:eastAsia="仿宋_GB2312"/>
                <w:sz w:val="24"/>
                <w:szCs w:val="24"/>
                <w:lang w:val="en-US" w:eastAsia="zh-CN"/>
              </w:rPr>
              <w:t xml:space="preserve">   </w:t>
            </w:r>
            <w:r>
              <w:rPr>
                <w:rFonts w:hint="eastAsia" w:ascii="仿宋_GB2312" w:eastAsia="仿宋_GB2312"/>
                <w:sz w:val="24"/>
                <w:szCs w:val="24"/>
              </w:rPr>
              <w:t>秀屿生态环境局</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区发改局、区自然资源局、</w:t>
            </w:r>
            <w:r>
              <w:rPr>
                <w:rFonts w:hint="eastAsia" w:ascii="仿宋_GB2312" w:eastAsia="仿宋_GB2312"/>
                <w:sz w:val="24"/>
                <w:szCs w:val="24"/>
                <w:lang w:val="en-US" w:eastAsia="zh-CN"/>
              </w:rPr>
              <w:t>区水利局、</w:t>
            </w:r>
            <w:r>
              <w:rPr>
                <w:rFonts w:hint="eastAsia" w:ascii="仿宋_GB2312" w:eastAsia="仿宋_GB2312"/>
                <w:sz w:val="24"/>
                <w:szCs w:val="24"/>
              </w:rPr>
              <w:t>区交通运输局、各镇人民政府、上航水环境公司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3" w:hRule="atLeast"/>
          <w:jc w:val="center"/>
        </w:trPr>
        <w:tc>
          <w:tcPr>
            <w:tcW w:w="1332" w:type="dxa"/>
            <w:vMerge w:val="continue"/>
            <w:vAlign w:val="center"/>
          </w:tcPr>
          <w:p>
            <w:pPr>
              <w:rPr>
                <w:rFonts w:ascii="Calibri" w:hAnsi="Calibri"/>
                <w:szCs w:val="24"/>
              </w:rPr>
            </w:pP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13.强化</w:t>
            </w:r>
            <w:r>
              <w:rPr>
                <w:rFonts w:hint="eastAsia" w:ascii="仿宋_GB2312" w:eastAsia="仿宋_GB2312"/>
                <w:sz w:val="24"/>
                <w:szCs w:val="24"/>
              </w:rPr>
              <w:t>宣传培训</w:t>
            </w:r>
            <w:r>
              <w:rPr>
                <w:rFonts w:hint="eastAsia" w:ascii="仿宋_GB2312" w:hAnsi="Calibri" w:eastAsia="仿宋_GB2312"/>
                <w:sz w:val="24"/>
                <w:szCs w:val="24"/>
              </w:rPr>
              <w:t>。通过多种形式，深入基层一线，开展宣传培训、政策宣贯，将相关内容纳入党校培训内容。</w:t>
            </w:r>
          </w:p>
        </w:tc>
        <w:tc>
          <w:tcPr>
            <w:tcW w:w="2082" w:type="dxa"/>
            <w:vAlign w:val="center"/>
          </w:tcPr>
          <w:p>
            <w:pPr>
              <w:topLinePunct/>
              <w:autoSpaceDE w:val="0"/>
              <w:adjustRightInd w:val="0"/>
              <w:snapToGrid w:val="0"/>
              <w:rPr>
                <w:rFonts w:ascii="仿宋_GB2312" w:hAnsi="Calibri"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农业农村</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科技</w:t>
            </w:r>
            <w:r>
              <w:rPr>
                <w:rFonts w:hint="eastAsia" w:ascii="仿宋_GB2312" w:eastAsia="仿宋_GB2312"/>
                <w:sz w:val="24"/>
                <w:szCs w:val="24"/>
              </w:rPr>
              <w:t>局、区</w:t>
            </w:r>
            <w:r>
              <w:rPr>
                <w:rFonts w:hint="eastAsia" w:ascii="仿宋_GB2312" w:eastAsia="仿宋_GB2312"/>
                <w:sz w:val="24"/>
                <w:szCs w:val="24"/>
                <w:lang w:val="en-US" w:eastAsia="zh-CN"/>
              </w:rPr>
              <w:t>委</w:t>
            </w:r>
            <w:r>
              <w:rPr>
                <w:rFonts w:hint="eastAsia" w:ascii="仿宋_GB2312" w:hAnsi="Calibri" w:eastAsia="仿宋_GB2312"/>
                <w:sz w:val="24"/>
                <w:szCs w:val="24"/>
                <w:lang w:val="en-US" w:eastAsia="zh-CN"/>
              </w:rPr>
              <w:t>党校</w:t>
            </w:r>
            <w:r>
              <w:rPr>
                <w:rFonts w:hint="eastAsia" w:ascii="仿宋_GB2312" w:eastAsia="仿宋_GB2312"/>
                <w:sz w:val="24"/>
                <w:szCs w:val="24"/>
              </w:rPr>
              <w:t>、各镇人民政府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00" w:hRule="atLeast"/>
          <w:jc w:val="center"/>
        </w:trPr>
        <w:tc>
          <w:tcPr>
            <w:tcW w:w="1332" w:type="dxa"/>
            <w:vMerge w:val="restart"/>
            <w:vAlign w:val="center"/>
          </w:tcPr>
          <w:p>
            <w:pPr>
              <w:adjustRightInd w:val="0"/>
              <w:snapToGrid w:val="0"/>
              <w:jc w:val="left"/>
              <w:rPr>
                <w:rFonts w:ascii="楷体_GB2312" w:hAnsi="Calibri" w:eastAsia="楷体_GB2312" w:cs="楷体_GB2312"/>
                <w:sz w:val="24"/>
                <w:szCs w:val="24"/>
              </w:rPr>
            </w:pPr>
            <w:r>
              <w:rPr>
                <w:rFonts w:hint="eastAsia" w:ascii="楷体_GB2312" w:hAnsi="Calibri" w:eastAsia="楷体_GB2312" w:cs="楷体_GB2312"/>
                <w:b/>
                <w:sz w:val="24"/>
                <w:szCs w:val="24"/>
              </w:rPr>
              <w:t>（五）推行社会共治</w:t>
            </w: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14.加强基层协管力量。将农村污水处理设施及管网的日常巡查纳入综治网格化、村级协管队伍的工作范畴</w:t>
            </w:r>
            <w:r>
              <w:rPr>
                <w:rFonts w:hint="eastAsia" w:ascii="仿宋_GB2312" w:eastAsia="仿宋_GB2312"/>
                <w:sz w:val="24"/>
                <w:szCs w:val="24"/>
                <w:lang w:eastAsia="zh-CN"/>
              </w:rPr>
              <w:t>。</w:t>
            </w:r>
            <w:r>
              <w:rPr>
                <w:rFonts w:hint="eastAsia" w:ascii="仿宋_GB2312" w:eastAsia="仿宋_GB2312"/>
                <w:sz w:val="24"/>
                <w:szCs w:val="24"/>
                <w:lang w:val="en-US" w:eastAsia="zh-CN"/>
              </w:rPr>
              <w:t>聘请专职人员</w:t>
            </w:r>
            <w:r>
              <w:rPr>
                <w:rFonts w:hint="eastAsia" w:ascii="仿宋_GB2312" w:hAnsi="Calibri" w:eastAsia="仿宋_GB2312"/>
                <w:sz w:val="24"/>
                <w:szCs w:val="24"/>
              </w:rPr>
              <w:t>，工作经费纳入财政预算。</w:t>
            </w:r>
          </w:p>
        </w:tc>
        <w:tc>
          <w:tcPr>
            <w:tcW w:w="2082" w:type="dxa"/>
            <w:vAlign w:val="center"/>
          </w:tcPr>
          <w:p>
            <w:pPr>
              <w:topLinePunct/>
              <w:autoSpaceDE w:val="0"/>
              <w:adjustRightInd w:val="0"/>
              <w:snapToGrid w:val="0"/>
              <w:rPr>
                <w:rFonts w:ascii="仿宋_GB2312" w:hAnsi="Calibri"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各镇人民政府</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秀屿生态环境局、区农业农村局、区住建局、区财政局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46" w:hRule="atLeast"/>
          <w:jc w:val="center"/>
        </w:trPr>
        <w:tc>
          <w:tcPr>
            <w:tcW w:w="1332" w:type="dxa"/>
            <w:vMerge w:val="continue"/>
            <w:vAlign w:val="center"/>
          </w:tcPr>
          <w:p>
            <w:pPr>
              <w:adjustRightInd w:val="0"/>
              <w:snapToGrid w:val="0"/>
              <w:jc w:val="left"/>
              <w:rPr>
                <w:rFonts w:ascii="楷体_GB2312" w:hAnsi="Calibri" w:eastAsia="楷体_GB2312" w:cs="楷体_GB2312"/>
                <w:sz w:val="24"/>
                <w:szCs w:val="24"/>
              </w:rPr>
            </w:pP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15.发挥村级组织力量。鼓励采取以工代赈等方式有序组织当地村民参与项目建设，</w:t>
            </w:r>
            <w:r>
              <w:rPr>
                <w:rFonts w:hint="eastAsia" w:ascii="仿宋_GB2312" w:eastAsia="仿宋_GB2312"/>
                <w:sz w:val="24"/>
                <w:szCs w:val="24"/>
              </w:rPr>
              <w:t>推广“民间监理”等经验做法，</w:t>
            </w:r>
            <w:r>
              <w:rPr>
                <w:rFonts w:hint="eastAsia" w:ascii="仿宋_GB2312" w:hAnsi="Calibri" w:eastAsia="仿宋_GB2312"/>
                <w:sz w:val="24"/>
                <w:szCs w:val="24"/>
              </w:rPr>
              <w:t>引导和支持村级组织把爱护农村生活污水治理设施等相关事项纳入村规民约。在村务公开栏公示治理事项，公开举报电话，项目前期应征求村民代表会议意见，项目建设过程应接受群众监督，项目验收阶段应</w:t>
            </w:r>
            <w:r>
              <w:rPr>
                <w:rFonts w:hint="eastAsia" w:ascii="仿宋_GB2312" w:eastAsia="仿宋_GB2312"/>
                <w:sz w:val="24"/>
                <w:szCs w:val="24"/>
              </w:rPr>
              <w:t>有“民间监理”参与并</w:t>
            </w:r>
            <w:r>
              <w:rPr>
                <w:rFonts w:hint="eastAsia" w:ascii="仿宋_GB2312" w:hAnsi="Calibri" w:eastAsia="仿宋_GB2312"/>
                <w:sz w:val="24"/>
                <w:szCs w:val="24"/>
              </w:rPr>
              <w:t>开展群众满意度调查。</w:t>
            </w:r>
          </w:p>
        </w:tc>
        <w:tc>
          <w:tcPr>
            <w:tcW w:w="2082" w:type="dxa"/>
            <w:vAlign w:val="center"/>
          </w:tcPr>
          <w:p>
            <w:pPr>
              <w:topLinePunct/>
              <w:autoSpaceDE w:val="0"/>
              <w:adjustRightInd w:val="0"/>
              <w:snapToGrid w:val="0"/>
              <w:rPr>
                <w:rFonts w:ascii="仿宋_GB2312" w:hAnsi="Calibri"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各镇人民政府</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农业农村</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2" w:hRule="atLeast"/>
          <w:jc w:val="center"/>
        </w:trPr>
        <w:tc>
          <w:tcPr>
            <w:tcW w:w="1332" w:type="dxa"/>
            <w:vMerge w:val="continue"/>
            <w:vAlign w:val="center"/>
          </w:tcPr>
          <w:p>
            <w:pPr>
              <w:rPr>
                <w:rFonts w:ascii="Calibri" w:hAnsi="Calibri"/>
                <w:szCs w:val="24"/>
              </w:rPr>
            </w:pP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16.推动各方共同参与。发挥基层战斗堡垒作用，借助党代表、人大代表、政协委员、工青妇组织、当地乡贤、村民代表、农村“五老”（老党员、老干部、老劳模、老退伍军人、老教师）等各类群体力量，结合人大政协监督、绿色家庭创建等，帮助推动项目落地和日常监督，吸引各方人士捐助、认建。利用新闻媒体，加强农村生活污水治理工作的政策解读、案例宣传和问题曝光。</w:t>
            </w:r>
          </w:p>
        </w:tc>
        <w:tc>
          <w:tcPr>
            <w:tcW w:w="2082" w:type="dxa"/>
            <w:vAlign w:val="center"/>
          </w:tcPr>
          <w:p>
            <w:pPr>
              <w:topLinePunct/>
              <w:autoSpaceDE w:val="0"/>
              <w:adjustRightInd w:val="0"/>
              <w:snapToGrid w:val="0"/>
              <w:rPr>
                <w:rFonts w:ascii="仿宋_GB2312" w:hAnsi="Calibri"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各镇人民政府</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农业农村</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11" w:hRule="atLeast"/>
          <w:jc w:val="center"/>
        </w:trPr>
        <w:tc>
          <w:tcPr>
            <w:tcW w:w="1332" w:type="dxa"/>
            <w:vMerge w:val="restart"/>
            <w:vAlign w:val="center"/>
          </w:tcPr>
          <w:p>
            <w:pPr>
              <w:adjustRightInd w:val="0"/>
              <w:snapToGrid w:val="0"/>
              <w:jc w:val="left"/>
              <w:rPr>
                <w:rFonts w:ascii="楷体_GB2312" w:hAnsi="Calibri" w:eastAsia="楷体_GB2312" w:cs="楷体_GB2312"/>
                <w:b/>
                <w:sz w:val="24"/>
                <w:szCs w:val="24"/>
              </w:rPr>
            </w:pPr>
            <w:r>
              <w:rPr>
                <w:rFonts w:hint="eastAsia" w:ascii="楷体_GB2312" w:hAnsi="Calibri" w:eastAsia="楷体_GB2312" w:cs="楷体_GB2312"/>
                <w:b/>
                <w:sz w:val="24"/>
                <w:szCs w:val="24"/>
              </w:rPr>
              <w:t>（六）强化成效管理</w:t>
            </w: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17.</w:t>
            </w:r>
            <w:r>
              <w:rPr>
                <w:rFonts w:hint="eastAsia" w:ascii="仿宋_GB2312" w:eastAsia="仿宋_GB2312"/>
                <w:sz w:val="24"/>
                <w:szCs w:val="24"/>
              </w:rPr>
              <w:t>探索</w:t>
            </w:r>
            <w:r>
              <w:rPr>
                <w:rFonts w:hint="eastAsia" w:ascii="仿宋_GB2312" w:hAnsi="Calibri" w:eastAsia="仿宋_GB2312"/>
                <w:sz w:val="24"/>
                <w:szCs w:val="24"/>
              </w:rPr>
              <w:t>智慧监管模式。结合农村环境监管发展趋势和全</w:t>
            </w:r>
            <w:r>
              <w:rPr>
                <w:rFonts w:hint="eastAsia" w:ascii="仿宋_GB2312" w:eastAsia="仿宋_GB2312"/>
                <w:sz w:val="24"/>
                <w:szCs w:val="24"/>
              </w:rPr>
              <w:t>区</w:t>
            </w:r>
            <w:r>
              <w:rPr>
                <w:rFonts w:hint="eastAsia" w:ascii="仿宋_GB2312" w:hAnsi="Calibri" w:eastAsia="仿宋_GB2312"/>
                <w:sz w:val="24"/>
                <w:szCs w:val="24"/>
              </w:rPr>
              <w:t>实际，依托“生态云”平台，以行政村为单元，进一步核实建成污水治理设施的村庄分布、处理能力和运行情况，结合日处理能力达到或超过20吨的农村生活污水处理设施监督性监测，建立农村生活污水治理信息管理系统</w:t>
            </w:r>
            <w:r>
              <w:rPr>
                <w:rFonts w:hint="eastAsia" w:ascii="仿宋_GB2312" w:eastAsia="仿宋_GB2312"/>
                <w:sz w:val="24"/>
                <w:szCs w:val="24"/>
              </w:rPr>
              <w:t>。</w:t>
            </w:r>
          </w:p>
        </w:tc>
        <w:tc>
          <w:tcPr>
            <w:tcW w:w="208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r>
              <w:rPr>
                <w:rFonts w:hint="eastAsia" w:ascii="仿宋_GB2312" w:eastAsia="仿宋_GB2312"/>
                <w:sz w:val="24"/>
                <w:szCs w:val="24"/>
                <w:lang w:val="en-US" w:eastAsia="zh-CN"/>
              </w:rPr>
              <w:t xml:space="preserve"> </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农业农村</w:t>
            </w:r>
            <w:r>
              <w:rPr>
                <w:rFonts w:hint="eastAsia" w:ascii="仿宋_GB2312" w:eastAsia="仿宋_GB2312"/>
                <w:sz w:val="24"/>
                <w:szCs w:val="24"/>
              </w:rPr>
              <w:t>局、各镇人民政府、上航水环境公司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41" w:hRule="atLeast"/>
          <w:jc w:val="center"/>
        </w:trPr>
        <w:tc>
          <w:tcPr>
            <w:tcW w:w="1332" w:type="dxa"/>
            <w:vMerge w:val="continue"/>
            <w:vAlign w:val="center"/>
          </w:tcPr>
          <w:p>
            <w:pPr>
              <w:rPr>
                <w:rFonts w:ascii="Calibri" w:hAnsi="Calibri"/>
                <w:szCs w:val="24"/>
              </w:rPr>
            </w:pP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18.</w:t>
            </w:r>
            <w:r>
              <w:rPr>
                <w:rFonts w:hint="eastAsia" w:ascii="仿宋_GB2312" w:eastAsia="仿宋_GB2312"/>
                <w:sz w:val="24"/>
                <w:szCs w:val="24"/>
              </w:rPr>
              <w:t>开展成效评估</w:t>
            </w:r>
            <w:r>
              <w:rPr>
                <w:rFonts w:hint="eastAsia" w:ascii="仿宋_GB2312" w:hAnsi="Calibri" w:eastAsia="仿宋_GB2312"/>
                <w:sz w:val="24"/>
                <w:szCs w:val="24"/>
              </w:rPr>
              <w:t>。强化成效评估、常态化明察暗访，</w:t>
            </w:r>
            <w:r>
              <w:rPr>
                <w:rFonts w:hint="eastAsia" w:ascii="仿宋_GB2312" w:eastAsia="仿宋_GB2312"/>
                <w:sz w:val="24"/>
                <w:szCs w:val="24"/>
              </w:rPr>
              <w:t>对辖区</w:t>
            </w:r>
            <w:r>
              <w:rPr>
                <w:rFonts w:hint="eastAsia" w:ascii="仿宋_GB2312" w:hAnsi="Calibri" w:eastAsia="仿宋_GB2312"/>
                <w:sz w:val="24"/>
                <w:szCs w:val="24"/>
              </w:rPr>
              <w:t>“投、建、管、运”工作成效开展评估，对设计、建设、运维企业履约情况纳入企业信用评价，营造诚实守信的农村生活污水治理市场环境。</w:t>
            </w:r>
          </w:p>
        </w:tc>
        <w:tc>
          <w:tcPr>
            <w:tcW w:w="208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r>
              <w:rPr>
                <w:rFonts w:hint="eastAsia" w:ascii="仿宋_GB2312" w:eastAsia="仿宋_GB2312"/>
                <w:sz w:val="24"/>
                <w:szCs w:val="24"/>
                <w:lang w:eastAsia="zh-CN"/>
              </w:rPr>
              <w:t>、</w:t>
            </w:r>
            <w:r>
              <w:rPr>
                <w:rFonts w:hint="eastAsia" w:ascii="仿宋_GB2312" w:eastAsia="仿宋_GB2312"/>
                <w:sz w:val="24"/>
                <w:szCs w:val="24"/>
                <w:lang w:val="en-US" w:eastAsia="zh-CN"/>
              </w:rPr>
              <w:t xml:space="preserve">   </w:t>
            </w: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发改</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农业农村</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各镇人民政府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70" w:hRule="atLeast"/>
          <w:jc w:val="center"/>
        </w:trPr>
        <w:tc>
          <w:tcPr>
            <w:tcW w:w="1332" w:type="dxa"/>
            <w:vMerge w:val="continue"/>
            <w:vAlign w:val="center"/>
          </w:tcPr>
          <w:p>
            <w:pPr>
              <w:rPr>
                <w:rFonts w:ascii="Calibri" w:hAnsi="Calibri"/>
                <w:szCs w:val="24"/>
              </w:rPr>
            </w:pPr>
          </w:p>
        </w:tc>
        <w:tc>
          <w:tcPr>
            <w:tcW w:w="7590"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19.实行以效付费。坚持厂站与管网、进水浓度与出水水质统筹，将治理成效作为双方签订污水治理合同的约定义务，与建设运维企业合理确定成效考核指标体系，按照管网配套情况、污水收集情况、设施运行情况等，每半年开展成效考核。</w:t>
            </w:r>
          </w:p>
        </w:tc>
        <w:tc>
          <w:tcPr>
            <w:tcW w:w="2082" w:type="dxa"/>
            <w:vAlign w:val="center"/>
          </w:tcPr>
          <w:p>
            <w:pPr>
              <w:topLinePunct/>
              <w:autoSpaceDE w:val="0"/>
              <w:adjustRightInd w:val="0"/>
              <w:snapToGrid w:val="0"/>
              <w:rPr>
                <w:rFonts w:ascii="仿宋_GB2312" w:hAnsi="Calibri"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p>
        </w:tc>
        <w:tc>
          <w:tcPr>
            <w:tcW w:w="2204" w:type="dxa"/>
            <w:vAlign w:val="center"/>
          </w:tcPr>
          <w:p>
            <w:pPr>
              <w:topLinePunct/>
              <w:autoSpaceDE w:val="0"/>
              <w:adjustRightInd w:val="0"/>
              <w:snapToGrid w:val="0"/>
              <w:rPr>
                <w:rFonts w:hint="eastAsia" w:ascii="仿宋_GB2312" w:eastAsia="仿宋_GB2312"/>
                <w:sz w:val="24"/>
                <w:szCs w:val="24"/>
              </w:rPr>
            </w:pP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局、各镇人民政府</w:t>
            </w:r>
          </w:p>
        </w:tc>
      </w:tr>
    </w:tbl>
    <w:p>
      <w:pPr>
        <w:adjustRightInd w:val="0"/>
        <w:snapToGrid w:val="0"/>
        <w:spacing w:line="300" w:lineRule="auto"/>
        <w:jc w:val="center"/>
        <w:rPr>
          <w:rFonts w:ascii="仿宋_GB2312" w:hAnsi="Calibri" w:eastAsia="仿宋_GB2312" w:cs="仿宋_GB2312"/>
          <w:szCs w:val="32"/>
        </w:rPr>
        <w:sectPr>
          <w:pgSz w:w="16838" w:h="11905" w:orient="landscape"/>
          <w:pgMar w:top="1587" w:right="1701" w:bottom="1587" w:left="1417" w:header="851" w:footer="992" w:gutter="0"/>
          <w:pgNumType w:fmt="decimal"/>
          <w:cols w:space="0" w:num="1"/>
          <w:rtlGutter w:val="0"/>
          <w:docGrid w:type="lines" w:linePitch="443" w:charSpace="0"/>
        </w:sectPr>
      </w:pPr>
    </w:p>
    <w:p>
      <w:pPr>
        <w:adjustRightInd w:val="0"/>
        <w:snapToGrid w:val="0"/>
        <w:spacing w:line="590" w:lineRule="exact"/>
        <w:rPr>
          <w:rFonts w:ascii="黑体" w:hAnsi="黑体" w:eastAsia="黑体" w:cs="黑体"/>
          <w:sz w:val="30"/>
          <w:szCs w:val="30"/>
        </w:rPr>
      </w:pPr>
      <w:r>
        <w:rPr>
          <w:rFonts w:hint="eastAsia" w:ascii="黑体" w:hAnsi="黑体" w:eastAsia="黑体" w:cs="黑体"/>
          <w:sz w:val="30"/>
          <w:szCs w:val="30"/>
        </w:rPr>
        <w:t>附件</w:t>
      </w:r>
      <w:r>
        <w:rPr>
          <w:rFonts w:hint="eastAsia" w:ascii="黑体" w:hAnsi="黑体" w:eastAsia="黑体" w:cs="黑体"/>
          <w:sz w:val="30"/>
          <w:szCs w:val="30"/>
          <w:lang w:val="en-US" w:eastAsia="zh-CN"/>
        </w:rPr>
        <w:t>5</w:t>
      </w: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秀屿区农村生活污水治理改革措施清单</w:t>
      </w:r>
    </w:p>
    <w:tbl>
      <w:tblPr>
        <w:tblStyle w:val="10"/>
        <w:tblW w:w="14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182"/>
        <w:gridCol w:w="6317"/>
        <w:gridCol w:w="2541"/>
        <w:gridCol w:w="2541"/>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42" w:type="dxa"/>
            <w:vAlign w:val="center"/>
          </w:tcPr>
          <w:p>
            <w:pPr>
              <w:topLinePunct/>
              <w:autoSpaceDE w:val="0"/>
              <w:adjustRightInd w:val="0"/>
              <w:snapToGrid w:val="0"/>
              <w:jc w:val="center"/>
              <w:rPr>
                <w:rFonts w:eastAsia="黑体"/>
                <w:sz w:val="24"/>
                <w:szCs w:val="24"/>
              </w:rPr>
            </w:pPr>
            <w:r>
              <w:rPr>
                <w:rFonts w:eastAsia="黑体"/>
                <w:sz w:val="24"/>
                <w:szCs w:val="24"/>
              </w:rPr>
              <w:t>序号</w:t>
            </w:r>
          </w:p>
        </w:tc>
        <w:tc>
          <w:tcPr>
            <w:tcW w:w="1182" w:type="dxa"/>
            <w:vAlign w:val="center"/>
          </w:tcPr>
          <w:p>
            <w:pPr>
              <w:topLinePunct/>
              <w:autoSpaceDE w:val="0"/>
              <w:adjustRightInd w:val="0"/>
              <w:snapToGrid w:val="0"/>
              <w:jc w:val="center"/>
              <w:rPr>
                <w:rFonts w:eastAsia="黑体"/>
                <w:sz w:val="24"/>
                <w:szCs w:val="24"/>
              </w:rPr>
            </w:pPr>
            <w:r>
              <w:rPr>
                <w:rFonts w:eastAsia="黑体"/>
                <w:sz w:val="24"/>
                <w:szCs w:val="24"/>
              </w:rPr>
              <w:t>类别</w:t>
            </w:r>
          </w:p>
        </w:tc>
        <w:tc>
          <w:tcPr>
            <w:tcW w:w="6317" w:type="dxa"/>
            <w:vAlign w:val="center"/>
          </w:tcPr>
          <w:p>
            <w:pPr>
              <w:topLinePunct/>
              <w:autoSpaceDE w:val="0"/>
              <w:adjustRightInd w:val="0"/>
              <w:snapToGrid w:val="0"/>
              <w:jc w:val="center"/>
              <w:rPr>
                <w:rFonts w:eastAsia="黑体"/>
                <w:sz w:val="24"/>
                <w:szCs w:val="24"/>
              </w:rPr>
            </w:pPr>
            <w:r>
              <w:rPr>
                <w:rFonts w:eastAsia="黑体"/>
                <w:sz w:val="24"/>
                <w:szCs w:val="24"/>
              </w:rPr>
              <w:t>政策及改革措施内容</w:t>
            </w:r>
          </w:p>
        </w:tc>
        <w:tc>
          <w:tcPr>
            <w:tcW w:w="2541" w:type="dxa"/>
            <w:vAlign w:val="center"/>
          </w:tcPr>
          <w:p>
            <w:pPr>
              <w:topLinePunct/>
              <w:autoSpaceDE w:val="0"/>
              <w:adjustRightInd w:val="0"/>
              <w:snapToGrid w:val="0"/>
              <w:jc w:val="center"/>
              <w:rPr>
                <w:rFonts w:hint="eastAsia" w:eastAsia="黑体"/>
                <w:sz w:val="24"/>
                <w:szCs w:val="24"/>
                <w:lang w:val="en-US" w:eastAsia="zh-CN"/>
              </w:rPr>
            </w:pPr>
            <w:r>
              <w:rPr>
                <w:rFonts w:hint="eastAsia" w:eastAsia="黑体"/>
                <w:sz w:val="24"/>
                <w:szCs w:val="24"/>
                <w:lang w:val="en-US" w:eastAsia="zh-CN"/>
              </w:rPr>
              <w:t>牵头单位</w:t>
            </w:r>
          </w:p>
        </w:tc>
        <w:tc>
          <w:tcPr>
            <w:tcW w:w="2541" w:type="dxa"/>
            <w:vAlign w:val="center"/>
          </w:tcPr>
          <w:p>
            <w:pPr>
              <w:topLinePunct/>
              <w:autoSpaceDE w:val="0"/>
              <w:adjustRightInd w:val="0"/>
              <w:snapToGrid w:val="0"/>
              <w:jc w:val="center"/>
              <w:rPr>
                <w:rFonts w:eastAsia="黑体"/>
                <w:sz w:val="24"/>
                <w:szCs w:val="24"/>
              </w:rPr>
            </w:pPr>
            <w:r>
              <w:rPr>
                <w:rFonts w:hint="eastAsia" w:eastAsia="黑体"/>
                <w:sz w:val="24"/>
                <w:szCs w:val="24"/>
              </w:rPr>
              <w:t>责任</w:t>
            </w:r>
            <w:r>
              <w:rPr>
                <w:rFonts w:eastAsia="黑体"/>
                <w:sz w:val="24"/>
                <w:szCs w:val="24"/>
              </w:rPr>
              <w:t>单位</w:t>
            </w:r>
          </w:p>
        </w:tc>
        <w:tc>
          <w:tcPr>
            <w:tcW w:w="1263" w:type="dxa"/>
            <w:vAlign w:val="center"/>
          </w:tcPr>
          <w:p>
            <w:pPr>
              <w:topLinePunct/>
              <w:autoSpaceDE w:val="0"/>
              <w:adjustRightInd w:val="0"/>
              <w:snapToGrid w:val="0"/>
              <w:jc w:val="center"/>
              <w:rPr>
                <w:rFonts w:eastAsia="黑体"/>
                <w:sz w:val="24"/>
                <w:szCs w:val="24"/>
              </w:rPr>
            </w:pPr>
            <w:r>
              <w:rPr>
                <w:rFonts w:eastAsia="黑体"/>
                <w:sz w:val="24"/>
                <w:szCs w:val="24"/>
              </w:rPr>
              <w:t>时限要求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64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eastAsia="仿宋_GB2312"/>
                <w:sz w:val="24"/>
                <w:szCs w:val="24"/>
              </w:rPr>
              <w:t>1</w:t>
            </w:r>
          </w:p>
        </w:tc>
        <w:tc>
          <w:tcPr>
            <w:tcW w:w="118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协同推进</w:t>
            </w:r>
          </w:p>
        </w:tc>
        <w:tc>
          <w:tcPr>
            <w:tcW w:w="6317"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推动尾水资源利用。鼓励高标准农田建设、农田水利建设与农村生活污水治理相结合，统一规划、一体设计，实现农业农村水资源的良性循环。</w:t>
            </w:r>
          </w:p>
        </w:tc>
        <w:tc>
          <w:tcPr>
            <w:tcW w:w="2541" w:type="dxa"/>
            <w:vAlign w:val="center"/>
          </w:tcPr>
          <w:p>
            <w:pPr>
              <w:topLinePunct/>
              <w:autoSpaceDE w:val="0"/>
              <w:adjustRightInd w:val="0"/>
              <w:snapToGrid w:val="0"/>
              <w:jc w:val="center"/>
              <w:rPr>
                <w:rFonts w:hint="eastAsia" w:ascii="仿宋_GB2312"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农业农村</w:t>
            </w:r>
            <w:r>
              <w:rPr>
                <w:rFonts w:hint="eastAsia" w:ascii="仿宋_GB2312" w:eastAsia="仿宋_GB2312"/>
                <w:sz w:val="24"/>
                <w:szCs w:val="24"/>
              </w:rPr>
              <w:t>局</w:t>
            </w:r>
          </w:p>
        </w:tc>
        <w:tc>
          <w:tcPr>
            <w:tcW w:w="2541" w:type="dxa"/>
            <w:vAlign w:val="center"/>
          </w:tcPr>
          <w:p>
            <w:pPr>
              <w:topLinePunct/>
              <w:autoSpaceDE w:val="0"/>
              <w:adjustRightInd w:val="0"/>
              <w:snapToGrid w:val="0"/>
              <w:jc w:val="left"/>
              <w:rPr>
                <w:rFonts w:ascii="仿宋_GB2312" w:hAnsi="Calibri" w:eastAsia="仿宋_GB2312"/>
                <w:sz w:val="24"/>
                <w:szCs w:val="24"/>
              </w:rPr>
            </w:pP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局、区</w:t>
            </w:r>
            <w:r>
              <w:rPr>
                <w:rFonts w:hint="eastAsia" w:ascii="仿宋_GB2312" w:hAnsi="Calibri" w:eastAsia="仿宋_GB2312"/>
                <w:sz w:val="24"/>
                <w:szCs w:val="24"/>
              </w:rPr>
              <w:t>水利</w:t>
            </w:r>
            <w:r>
              <w:rPr>
                <w:rFonts w:hint="eastAsia" w:ascii="仿宋_GB2312" w:eastAsia="仿宋_GB2312"/>
                <w:sz w:val="24"/>
                <w:szCs w:val="24"/>
              </w:rPr>
              <w:t>局、区</w:t>
            </w:r>
            <w:r>
              <w:rPr>
                <w:rFonts w:hint="eastAsia" w:ascii="仿宋_GB2312" w:hAnsi="Calibri" w:eastAsia="仿宋_GB2312"/>
                <w:sz w:val="24"/>
                <w:szCs w:val="24"/>
              </w:rPr>
              <w:t>住建</w:t>
            </w:r>
            <w:r>
              <w:rPr>
                <w:rFonts w:hint="eastAsia" w:ascii="仿宋_GB2312" w:eastAsia="仿宋_GB2312"/>
                <w:sz w:val="24"/>
                <w:szCs w:val="24"/>
              </w:rPr>
              <w:t>局</w:t>
            </w:r>
            <w:r>
              <w:rPr>
                <w:rFonts w:hint="eastAsia" w:ascii="仿宋_GB2312" w:eastAsia="仿宋_GB2312"/>
                <w:sz w:val="24"/>
                <w:szCs w:val="24"/>
                <w:lang w:eastAsia="zh-CN"/>
              </w:rPr>
              <w:t>、</w:t>
            </w:r>
            <w:r>
              <w:rPr>
                <w:rFonts w:hint="eastAsia" w:ascii="仿宋_GB2312" w:eastAsia="仿宋_GB2312"/>
                <w:sz w:val="24"/>
                <w:szCs w:val="24"/>
              </w:rPr>
              <w:t>各镇人民政府</w:t>
            </w:r>
          </w:p>
        </w:tc>
        <w:tc>
          <w:tcPr>
            <w:tcW w:w="1263"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64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eastAsia="仿宋_GB2312"/>
                <w:sz w:val="24"/>
                <w:szCs w:val="24"/>
              </w:rPr>
              <w:t>2</w:t>
            </w:r>
          </w:p>
        </w:tc>
        <w:tc>
          <w:tcPr>
            <w:tcW w:w="1182" w:type="dxa"/>
            <w:vMerge w:val="restart"/>
            <w:vAlign w:val="center"/>
          </w:tcPr>
          <w:p>
            <w:pPr>
              <w:topLinePunct/>
              <w:autoSpaceDE w:val="0"/>
              <w:adjustRightInd w:val="0"/>
              <w:snapToGrid w:val="0"/>
              <w:jc w:val="center"/>
              <w:rPr>
                <w:rFonts w:ascii="Calibri" w:hAnsi="Calibri"/>
                <w:szCs w:val="24"/>
              </w:rPr>
            </w:pPr>
            <w:r>
              <w:rPr>
                <w:rFonts w:hint="eastAsia"/>
                <w:szCs w:val="24"/>
              </w:rPr>
              <w:t>实施模式</w:t>
            </w:r>
          </w:p>
        </w:tc>
        <w:tc>
          <w:tcPr>
            <w:tcW w:w="6317" w:type="dxa"/>
            <w:vAlign w:val="center"/>
          </w:tcPr>
          <w:p>
            <w:pPr>
              <w:topLinePunct/>
              <w:autoSpaceDE w:val="0"/>
              <w:adjustRightInd w:val="0"/>
              <w:snapToGrid w:val="0"/>
              <w:rPr>
                <w:rFonts w:ascii="仿宋_GB2312" w:hAnsi="Calibri" w:eastAsia="仿宋_GB2312"/>
                <w:sz w:val="24"/>
                <w:szCs w:val="24"/>
              </w:rPr>
            </w:pPr>
            <w:r>
              <w:rPr>
                <w:rFonts w:hint="eastAsia" w:ascii="仿宋_GB2312" w:eastAsia="仿宋_GB2312"/>
                <w:sz w:val="24"/>
                <w:szCs w:val="24"/>
              </w:rPr>
              <w:t>探索推进</w:t>
            </w:r>
            <w:r>
              <w:rPr>
                <w:rFonts w:hint="eastAsia" w:ascii="仿宋_GB2312" w:hAnsi="Calibri" w:eastAsia="仿宋_GB2312"/>
                <w:sz w:val="24"/>
                <w:szCs w:val="24"/>
              </w:rPr>
              <w:t>城乡供排水一体化机制，在城乡供水一体化稳步推进的基础上，扩大污水处理费收费范围至全</w:t>
            </w:r>
            <w:r>
              <w:rPr>
                <w:rFonts w:hint="eastAsia" w:ascii="仿宋_GB2312" w:eastAsia="仿宋_GB2312"/>
                <w:sz w:val="24"/>
                <w:szCs w:val="24"/>
              </w:rPr>
              <w:t>区</w:t>
            </w:r>
            <w:r>
              <w:rPr>
                <w:rFonts w:hint="eastAsia" w:ascii="仿宋_GB2312" w:hAnsi="Calibri" w:eastAsia="仿宋_GB2312"/>
                <w:sz w:val="24"/>
                <w:szCs w:val="24"/>
              </w:rPr>
              <w:t>所有城镇污水处理厂和农村小型污水处理设施服务范围，保障农村污水处理设施运行费用，逐步实现城乡供排水一体化。</w:t>
            </w:r>
          </w:p>
        </w:tc>
        <w:tc>
          <w:tcPr>
            <w:tcW w:w="2541" w:type="dxa"/>
            <w:vAlign w:val="center"/>
          </w:tcPr>
          <w:p>
            <w:pPr>
              <w:topLinePunct/>
              <w:autoSpaceDE w:val="0"/>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区住建局、</w:t>
            </w:r>
            <w:r>
              <w:rPr>
                <w:rFonts w:hint="eastAsia" w:ascii="仿宋_GB2312" w:eastAsia="仿宋_GB2312"/>
                <w:sz w:val="24"/>
                <w:szCs w:val="24"/>
                <w:lang w:val="en-US" w:eastAsia="zh-CN"/>
              </w:rPr>
              <w:t xml:space="preserve">        </w:t>
            </w:r>
            <w:r>
              <w:rPr>
                <w:rFonts w:hint="eastAsia" w:ascii="仿宋_GB2312" w:eastAsia="仿宋_GB2312"/>
                <w:sz w:val="24"/>
                <w:szCs w:val="24"/>
              </w:rPr>
              <w:t>秀屿生态环境局</w:t>
            </w:r>
          </w:p>
        </w:tc>
        <w:tc>
          <w:tcPr>
            <w:tcW w:w="2541" w:type="dxa"/>
            <w:vAlign w:val="center"/>
          </w:tcPr>
          <w:p>
            <w:pPr>
              <w:topLinePunct/>
              <w:autoSpaceDE w:val="0"/>
              <w:adjustRightInd w:val="0"/>
              <w:snapToGrid w:val="0"/>
              <w:jc w:val="left"/>
              <w:rPr>
                <w:rFonts w:ascii="仿宋_GB2312" w:hAnsi="Calibri" w:eastAsia="仿宋_GB2312"/>
                <w:sz w:val="24"/>
                <w:szCs w:val="24"/>
              </w:rPr>
            </w:pPr>
            <w:r>
              <w:rPr>
                <w:rFonts w:hint="eastAsia" w:ascii="仿宋_GB2312" w:eastAsia="仿宋_GB2312"/>
                <w:sz w:val="24"/>
                <w:szCs w:val="24"/>
              </w:rPr>
              <w:t>区水利局、区财政局</w:t>
            </w:r>
          </w:p>
        </w:tc>
        <w:tc>
          <w:tcPr>
            <w:tcW w:w="1263"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64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eastAsia="仿宋_GB2312"/>
                <w:sz w:val="24"/>
                <w:szCs w:val="24"/>
              </w:rPr>
              <w:t>3</w:t>
            </w:r>
          </w:p>
        </w:tc>
        <w:tc>
          <w:tcPr>
            <w:tcW w:w="1182" w:type="dxa"/>
            <w:vMerge w:val="continue"/>
            <w:vAlign w:val="center"/>
          </w:tcPr>
          <w:p>
            <w:pPr>
              <w:topLinePunct/>
              <w:autoSpaceDE w:val="0"/>
              <w:adjustRightInd w:val="0"/>
              <w:snapToGrid w:val="0"/>
              <w:jc w:val="center"/>
              <w:rPr>
                <w:rFonts w:ascii="仿宋_GB2312" w:hAnsi="Calibri" w:eastAsia="仿宋_GB2312"/>
                <w:sz w:val="24"/>
                <w:szCs w:val="24"/>
              </w:rPr>
            </w:pPr>
          </w:p>
        </w:tc>
        <w:tc>
          <w:tcPr>
            <w:tcW w:w="6317"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积极探索实践生态环境导向的开发模式（EOD模式），支持农村生活污水治理项目与收益较好的城镇污水处理、城乡供水、资源产业开发、乡村旅游、现代农业等关联项目或产业一体实施、统筹推进。</w:t>
            </w:r>
          </w:p>
        </w:tc>
        <w:tc>
          <w:tcPr>
            <w:tcW w:w="2541" w:type="dxa"/>
            <w:vAlign w:val="center"/>
          </w:tcPr>
          <w:p>
            <w:pPr>
              <w:topLinePunct/>
              <w:autoSpaceDE w:val="0"/>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r>
              <w:rPr>
                <w:rFonts w:hint="eastAsia" w:ascii="仿宋_GB2312" w:eastAsia="仿宋_GB2312"/>
                <w:sz w:val="24"/>
                <w:szCs w:val="24"/>
                <w:lang w:eastAsia="zh-CN"/>
              </w:rPr>
              <w:t>、</w:t>
            </w:r>
            <w:r>
              <w:rPr>
                <w:rFonts w:hint="eastAsia" w:ascii="仿宋_GB2312" w:eastAsia="仿宋_GB2312"/>
                <w:sz w:val="24"/>
                <w:szCs w:val="24"/>
                <w:lang w:val="en-US" w:eastAsia="zh-CN"/>
              </w:rPr>
              <w:t xml:space="preserve">  区住建局</w:t>
            </w:r>
          </w:p>
        </w:tc>
        <w:tc>
          <w:tcPr>
            <w:tcW w:w="2541" w:type="dxa"/>
            <w:vAlign w:val="center"/>
          </w:tcPr>
          <w:p>
            <w:pPr>
              <w:topLinePunct/>
              <w:autoSpaceDE w:val="0"/>
              <w:adjustRightInd w:val="0"/>
              <w:snapToGrid w:val="0"/>
              <w:jc w:val="left"/>
              <w:rPr>
                <w:rFonts w:ascii="仿宋_GB2312" w:hAnsi="Calibri" w:eastAsia="仿宋_GB2312"/>
                <w:sz w:val="24"/>
                <w:szCs w:val="24"/>
              </w:rPr>
            </w:pPr>
            <w:r>
              <w:rPr>
                <w:rFonts w:hint="eastAsia" w:ascii="仿宋_GB2312" w:eastAsia="仿宋_GB2312"/>
                <w:sz w:val="24"/>
                <w:szCs w:val="24"/>
                <w:lang w:val="en-US" w:eastAsia="zh-CN"/>
              </w:rPr>
              <w:t>区财政局、区发改局、区农业农村局、区水利局、区文旅局、各镇人民政府</w:t>
            </w:r>
          </w:p>
        </w:tc>
        <w:tc>
          <w:tcPr>
            <w:tcW w:w="1263"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64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eastAsia="仿宋_GB2312"/>
                <w:sz w:val="24"/>
                <w:szCs w:val="24"/>
              </w:rPr>
              <w:t>4</w:t>
            </w:r>
          </w:p>
        </w:tc>
        <w:tc>
          <w:tcPr>
            <w:tcW w:w="118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试点示范</w:t>
            </w:r>
          </w:p>
        </w:tc>
        <w:tc>
          <w:tcPr>
            <w:tcW w:w="6317"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开展农村生活污水治理试点示范工程</w:t>
            </w:r>
            <w:r>
              <w:rPr>
                <w:rFonts w:hint="eastAsia" w:ascii="仿宋_GB2312" w:eastAsia="仿宋_GB2312"/>
                <w:sz w:val="24"/>
                <w:szCs w:val="24"/>
              </w:rPr>
              <w:t>，总结可推广可复制的治理经验。</w:t>
            </w:r>
          </w:p>
        </w:tc>
        <w:tc>
          <w:tcPr>
            <w:tcW w:w="2541" w:type="dxa"/>
            <w:vAlign w:val="center"/>
          </w:tcPr>
          <w:p>
            <w:pPr>
              <w:topLinePunct/>
              <w:autoSpaceDE w:val="0"/>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区住建局、</w:t>
            </w:r>
            <w:r>
              <w:rPr>
                <w:rFonts w:hint="eastAsia" w:ascii="仿宋_GB2312" w:eastAsia="仿宋_GB2312"/>
                <w:sz w:val="24"/>
                <w:szCs w:val="24"/>
                <w:lang w:val="en-US" w:eastAsia="zh-CN"/>
              </w:rPr>
              <w:t xml:space="preserve">        </w:t>
            </w:r>
            <w:r>
              <w:rPr>
                <w:rFonts w:hint="eastAsia" w:ascii="仿宋_GB2312" w:eastAsia="仿宋_GB2312"/>
                <w:sz w:val="24"/>
                <w:szCs w:val="24"/>
              </w:rPr>
              <w:t>秀屿生态环境局</w:t>
            </w:r>
          </w:p>
        </w:tc>
        <w:tc>
          <w:tcPr>
            <w:tcW w:w="2541" w:type="dxa"/>
            <w:vAlign w:val="center"/>
          </w:tcPr>
          <w:p>
            <w:pPr>
              <w:topLinePunct/>
              <w:autoSpaceDE w:val="0"/>
              <w:adjustRightInd w:val="0"/>
              <w:snapToGrid w:val="0"/>
              <w:jc w:val="left"/>
              <w:rPr>
                <w:rFonts w:ascii="仿宋_GB2312" w:hAnsi="Calibri" w:eastAsia="仿宋_GB2312"/>
                <w:sz w:val="24"/>
                <w:szCs w:val="24"/>
              </w:rPr>
            </w:pPr>
            <w:r>
              <w:rPr>
                <w:rFonts w:hint="eastAsia" w:ascii="仿宋_GB2312" w:eastAsia="仿宋_GB2312"/>
                <w:sz w:val="24"/>
                <w:szCs w:val="24"/>
              </w:rPr>
              <w:t>区发改局、区自然资源局、区水利局、区交通运输局、各镇人民政府、上航水环境公司</w:t>
            </w:r>
          </w:p>
        </w:tc>
        <w:tc>
          <w:tcPr>
            <w:tcW w:w="1263"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64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eastAsia="仿宋_GB2312"/>
                <w:sz w:val="24"/>
                <w:szCs w:val="24"/>
              </w:rPr>
              <w:t>5</w:t>
            </w:r>
          </w:p>
        </w:tc>
        <w:tc>
          <w:tcPr>
            <w:tcW w:w="1182" w:type="dxa"/>
            <w:vAlign w:val="center"/>
          </w:tcPr>
          <w:p>
            <w:pPr>
              <w:topLinePunct/>
              <w:autoSpaceDE w:val="0"/>
              <w:adjustRightInd w:val="0"/>
              <w:snapToGrid w:val="0"/>
              <w:rPr>
                <w:rFonts w:hint="eastAsia" w:ascii="仿宋_GB2312" w:hAnsi="Calibri" w:eastAsia="仿宋_GB2312"/>
                <w:sz w:val="24"/>
                <w:szCs w:val="24"/>
                <w:lang w:val="en-US" w:eastAsia="zh-CN"/>
              </w:rPr>
            </w:pPr>
            <w:r>
              <w:rPr>
                <w:rFonts w:hint="eastAsia" w:ascii="仿宋_GB2312" w:hAnsi="Calibri" w:eastAsia="仿宋_GB2312"/>
                <w:sz w:val="24"/>
                <w:szCs w:val="24"/>
                <w:lang w:val="en-US" w:eastAsia="zh-CN"/>
              </w:rPr>
              <w:t>收费政策</w:t>
            </w:r>
          </w:p>
        </w:tc>
        <w:tc>
          <w:tcPr>
            <w:tcW w:w="6317"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按照《关于调整莆田市污水处理费征收标准的通知》（莆市价〔2016〕127号）以及莆田市秀屿区农村生活污水治理及笏石溪河道综合整治PPP项目合同约定，由供水主管部门委托公共供水企业向排水单位和个人征收污水处理费。对使用者付费一时不能覆盖需支付的项目可用性付费的部分，由区财政局根据支出责任予以补足，纳入当年度财政预算。</w:t>
            </w:r>
          </w:p>
        </w:tc>
        <w:tc>
          <w:tcPr>
            <w:tcW w:w="2541" w:type="dxa"/>
            <w:vAlign w:val="center"/>
          </w:tcPr>
          <w:p>
            <w:pPr>
              <w:topLinePunct/>
              <w:autoSpaceDE w:val="0"/>
              <w:adjustRightInd w:val="0"/>
              <w:snapToGrid w:val="0"/>
              <w:jc w:val="center"/>
              <w:rPr>
                <w:rFonts w:hint="eastAsia" w:ascii="仿宋_GB2312"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发改</w:t>
            </w:r>
            <w:r>
              <w:rPr>
                <w:rFonts w:hint="eastAsia" w:ascii="仿宋_GB2312" w:eastAsia="仿宋_GB2312"/>
                <w:sz w:val="24"/>
                <w:szCs w:val="24"/>
              </w:rPr>
              <w:t>局</w:t>
            </w:r>
            <w:r>
              <w:rPr>
                <w:rFonts w:hint="eastAsia" w:ascii="仿宋_GB2312" w:eastAsia="仿宋_GB2312"/>
                <w:sz w:val="24"/>
                <w:szCs w:val="24"/>
                <w:lang w:eastAsia="zh-CN"/>
              </w:rPr>
              <w:t>、</w:t>
            </w:r>
            <w:r>
              <w:rPr>
                <w:rFonts w:hint="eastAsia" w:ascii="仿宋_GB2312" w:eastAsia="仿宋_GB2312"/>
                <w:sz w:val="24"/>
                <w:szCs w:val="24"/>
              </w:rPr>
              <w:t>区</w:t>
            </w:r>
            <w:r>
              <w:rPr>
                <w:rFonts w:hint="eastAsia" w:ascii="仿宋_GB2312" w:hAnsi="Calibri" w:eastAsia="仿宋_GB2312"/>
                <w:sz w:val="24"/>
                <w:szCs w:val="24"/>
              </w:rPr>
              <w:t>财政</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hAnsi="Calibri" w:eastAsia="仿宋_GB2312"/>
                <w:sz w:val="24"/>
                <w:szCs w:val="24"/>
                <w:lang w:val="en-US" w:eastAsia="zh-CN"/>
              </w:rPr>
              <w:t>区住建局、</w:t>
            </w: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p>
        </w:tc>
        <w:tc>
          <w:tcPr>
            <w:tcW w:w="2541" w:type="dxa"/>
            <w:vAlign w:val="center"/>
          </w:tcPr>
          <w:p>
            <w:pPr>
              <w:topLinePunct/>
              <w:autoSpaceDE w:val="0"/>
              <w:adjustRightInd w:val="0"/>
              <w:snapToGrid w:val="0"/>
              <w:jc w:val="left"/>
              <w:rPr>
                <w:rFonts w:hint="eastAsia" w:ascii="仿宋_GB2312" w:hAnsi="Calibri" w:eastAsia="仿宋_GB2312"/>
                <w:sz w:val="24"/>
                <w:szCs w:val="24"/>
                <w:lang w:val="en-US" w:eastAsia="zh-CN"/>
              </w:rPr>
            </w:pPr>
            <w:r>
              <w:rPr>
                <w:rFonts w:hint="eastAsia" w:ascii="仿宋_GB2312" w:hAnsi="Calibri" w:eastAsia="仿宋_GB2312"/>
                <w:sz w:val="24"/>
                <w:szCs w:val="24"/>
                <w:lang w:val="en-US" w:eastAsia="zh-CN"/>
              </w:rPr>
              <w:t>区水利局、区农业农村局、各镇人民政府</w:t>
            </w:r>
          </w:p>
        </w:tc>
        <w:tc>
          <w:tcPr>
            <w:tcW w:w="1263"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642" w:type="dxa"/>
            <w:vAlign w:val="center"/>
          </w:tcPr>
          <w:p>
            <w:pPr>
              <w:topLinePunct/>
              <w:autoSpaceDE w:val="0"/>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6</w:t>
            </w:r>
          </w:p>
        </w:tc>
        <w:tc>
          <w:tcPr>
            <w:tcW w:w="1182" w:type="dxa"/>
            <w:vAlign w:val="center"/>
          </w:tcPr>
          <w:p>
            <w:pPr>
              <w:topLinePunct/>
              <w:autoSpaceDE w:val="0"/>
              <w:adjustRightInd w:val="0"/>
              <w:snapToGrid w:val="0"/>
              <w:jc w:val="left"/>
              <w:rPr>
                <w:rFonts w:ascii="仿宋_GB2312" w:hAnsi="Calibri" w:eastAsia="仿宋_GB2312"/>
                <w:sz w:val="24"/>
                <w:szCs w:val="24"/>
              </w:rPr>
            </w:pPr>
            <w:r>
              <w:rPr>
                <w:rFonts w:hint="eastAsia" w:ascii="仿宋_GB2312" w:hAnsi="Calibri" w:eastAsia="仿宋_GB2312"/>
                <w:sz w:val="24"/>
                <w:szCs w:val="24"/>
              </w:rPr>
              <w:t>资金保障</w:t>
            </w:r>
          </w:p>
          <w:p>
            <w:pPr>
              <w:topLinePunct/>
              <w:autoSpaceDE w:val="0"/>
              <w:adjustRightInd w:val="0"/>
              <w:snapToGrid w:val="0"/>
              <w:rPr>
                <w:rFonts w:hint="eastAsia" w:ascii="仿宋_GB2312" w:hAnsi="Calibri" w:eastAsia="仿宋_GB2312"/>
                <w:sz w:val="24"/>
                <w:szCs w:val="24"/>
              </w:rPr>
            </w:pPr>
            <w:r>
              <w:rPr>
                <w:rFonts w:hint="eastAsia" w:ascii="仿宋_GB2312" w:hAnsi="Calibri" w:eastAsia="仿宋_GB2312"/>
                <w:sz w:val="24"/>
                <w:szCs w:val="24"/>
              </w:rPr>
              <w:t>政策</w:t>
            </w:r>
          </w:p>
        </w:tc>
        <w:tc>
          <w:tcPr>
            <w:tcW w:w="6317" w:type="dxa"/>
            <w:vAlign w:val="center"/>
          </w:tcPr>
          <w:p>
            <w:pPr>
              <w:topLinePunct/>
              <w:autoSpaceDE w:val="0"/>
              <w:adjustRightInd w:val="0"/>
              <w:snapToGrid w:val="0"/>
              <w:rPr>
                <w:rFonts w:hint="eastAsia" w:ascii="仿宋_GB2312" w:hAnsi="Calibri" w:eastAsia="仿宋_GB2312"/>
                <w:sz w:val="24"/>
                <w:szCs w:val="24"/>
              </w:rPr>
            </w:pPr>
            <w:r>
              <w:rPr>
                <w:rFonts w:hint="eastAsia" w:ascii="仿宋_GB2312" w:eastAsia="仿宋_GB2312"/>
                <w:sz w:val="24"/>
                <w:szCs w:val="24"/>
              </w:rPr>
              <w:t>积极争取中央、省级农村环境整治资金，每年根据农村生活污水治理建设和运维的需求，统筹安排和使用土地出让收益（</w:t>
            </w:r>
            <w:r>
              <w:rPr>
                <w:rFonts w:hint="eastAsia" w:ascii="仿宋_GB2312" w:eastAsia="仿宋_GB2312"/>
                <w:sz w:val="24"/>
                <w:szCs w:val="24"/>
                <w:lang w:val="en-US" w:eastAsia="zh-CN"/>
              </w:rPr>
              <w:t>在10%比例以内</w:t>
            </w:r>
            <w:r>
              <w:rPr>
                <w:rFonts w:hint="eastAsia" w:ascii="仿宋_GB2312" w:eastAsia="仿宋_GB2312"/>
                <w:sz w:val="24"/>
                <w:szCs w:val="24"/>
              </w:rPr>
              <w:t>）、乡村振兴试点示范专项资金（</w:t>
            </w:r>
            <w:r>
              <w:rPr>
                <w:rFonts w:hint="eastAsia" w:ascii="仿宋_GB2312" w:eastAsia="仿宋_GB2312"/>
                <w:sz w:val="24"/>
                <w:szCs w:val="24"/>
                <w:lang w:val="en-US" w:eastAsia="zh-CN"/>
              </w:rPr>
              <w:t>按</w:t>
            </w:r>
            <w:r>
              <w:rPr>
                <w:rFonts w:hint="eastAsia" w:ascii="仿宋_GB2312" w:eastAsia="仿宋_GB2312"/>
                <w:sz w:val="24"/>
                <w:szCs w:val="24"/>
              </w:rPr>
              <w:t>10%比例）、饮用水水源保护区生态补偿资金和木兰溪流域生态补偿资金（</w:t>
            </w:r>
            <w:r>
              <w:rPr>
                <w:rFonts w:hint="eastAsia" w:ascii="仿宋_GB2312" w:eastAsia="仿宋_GB2312"/>
                <w:sz w:val="24"/>
                <w:szCs w:val="24"/>
                <w:lang w:val="en-US" w:eastAsia="zh-CN"/>
              </w:rPr>
              <w:t>不低于</w:t>
            </w:r>
            <w:r>
              <w:rPr>
                <w:rFonts w:hint="eastAsia" w:ascii="仿宋_GB2312" w:eastAsia="仿宋_GB2312"/>
                <w:sz w:val="24"/>
                <w:szCs w:val="24"/>
              </w:rPr>
              <w:t>10%）等涉农、涉水资金，保障农村生活污水治理设施建设及运维。</w:t>
            </w:r>
          </w:p>
        </w:tc>
        <w:tc>
          <w:tcPr>
            <w:tcW w:w="2541" w:type="dxa"/>
            <w:vAlign w:val="center"/>
          </w:tcPr>
          <w:p>
            <w:pPr>
              <w:topLinePunct/>
              <w:autoSpaceDE w:val="0"/>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区财政局</w:t>
            </w:r>
          </w:p>
        </w:tc>
        <w:tc>
          <w:tcPr>
            <w:tcW w:w="2541" w:type="dxa"/>
            <w:vAlign w:val="center"/>
          </w:tcPr>
          <w:p>
            <w:pPr>
              <w:topLinePunct/>
              <w:autoSpaceDE w:val="0"/>
              <w:adjustRightInd w:val="0"/>
              <w:snapToGrid w:val="0"/>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区农业农村局、秀屿生态环境局、区自然资源局、区水利局</w:t>
            </w:r>
          </w:p>
        </w:tc>
        <w:tc>
          <w:tcPr>
            <w:tcW w:w="1263" w:type="dxa"/>
            <w:vAlign w:val="center"/>
          </w:tcPr>
          <w:p>
            <w:pPr>
              <w:topLinePunct/>
              <w:autoSpaceDE w:val="0"/>
              <w:adjustRightInd w:val="0"/>
              <w:snapToGrid w:val="0"/>
              <w:jc w:val="center"/>
              <w:rPr>
                <w:rFonts w:hint="eastAsia" w:ascii="仿宋_GB2312" w:hAnsi="Calibri" w:eastAsia="仿宋_GB2312"/>
                <w:sz w:val="24"/>
                <w:szCs w:val="24"/>
              </w:rPr>
            </w:pPr>
            <w:r>
              <w:rPr>
                <w:rFonts w:hint="eastAsia" w:ascii="仿宋_GB2312" w:hAnsi="Calibri" w:eastAsia="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4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eastAsia="仿宋_GB2312"/>
                <w:sz w:val="24"/>
                <w:szCs w:val="24"/>
              </w:rPr>
              <w:t>7</w:t>
            </w:r>
          </w:p>
        </w:tc>
        <w:tc>
          <w:tcPr>
            <w:tcW w:w="1182" w:type="dxa"/>
            <w:vMerge w:val="restart"/>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优化审批</w:t>
            </w:r>
          </w:p>
        </w:tc>
        <w:tc>
          <w:tcPr>
            <w:tcW w:w="6317"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以</w:t>
            </w:r>
            <w:r>
              <w:rPr>
                <w:rFonts w:hint="eastAsia" w:ascii="仿宋_GB2312" w:eastAsia="仿宋_GB2312"/>
                <w:sz w:val="24"/>
                <w:szCs w:val="24"/>
              </w:rPr>
              <w:t>区</w:t>
            </w:r>
            <w:r>
              <w:rPr>
                <w:rFonts w:hint="eastAsia" w:ascii="仿宋_GB2312" w:hAnsi="Calibri" w:eastAsia="仿宋_GB2312"/>
                <w:sz w:val="24"/>
                <w:szCs w:val="24"/>
              </w:rPr>
              <w:t>为单位，将治理项目整体打包、统一报批相关审批手续，支持采取</w:t>
            </w:r>
            <w:r>
              <w:rPr>
                <w:rFonts w:hint="eastAsia" w:ascii="仿宋_GB2312" w:hAnsi="Calibri" w:eastAsia="仿宋_GB2312"/>
                <w:sz w:val="24"/>
                <w:szCs w:val="24"/>
                <w:lang w:val="en-US" w:eastAsia="zh-CN"/>
              </w:rPr>
              <w:t>并联审批</w:t>
            </w:r>
            <w:r>
              <w:rPr>
                <w:rFonts w:hint="eastAsia" w:ascii="仿宋_GB2312" w:hAnsi="Calibri" w:eastAsia="仿宋_GB2312"/>
                <w:sz w:val="24"/>
                <w:szCs w:val="24"/>
              </w:rPr>
              <w:t>、告知承诺等措施，依法优化项目审批事项。</w:t>
            </w:r>
          </w:p>
        </w:tc>
        <w:tc>
          <w:tcPr>
            <w:tcW w:w="2541"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发改</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p>
        </w:tc>
        <w:tc>
          <w:tcPr>
            <w:tcW w:w="2541" w:type="dxa"/>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ascii="仿宋_GB2312" w:hAnsi="Calibri" w:eastAsia="仿宋_GB2312"/>
                <w:sz w:val="24"/>
                <w:szCs w:val="24"/>
              </w:rPr>
            </w:pP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自然资源</w:t>
            </w:r>
            <w:r>
              <w:rPr>
                <w:rFonts w:hint="eastAsia" w:ascii="仿宋_GB2312" w:eastAsia="仿宋_GB2312"/>
                <w:sz w:val="24"/>
                <w:szCs w:val="24"/>
              </w:rPr>
              <w:t>局</w:t>
            </w:r>
          </w:p>
        </w:tc>
        <w:tc>
          <w:tcPr>
            <w:tcW w:w="1263"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4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8</w:t>
            </w:r>
          </w:p>
        </w:tc>
        <w:tc>
          <w:tcPr>
            <w:tcW w:w="1182" w:type="dxa"/>
            <w:vMerge w:val="continue"/>
            <w:vAlign w:val="center"/>
          </w:tcPr>
          <w:p>
            <w:pPr>
              <w:rPr>
                <w:rFonts w:ascii="Calibri" w:hAnsi="Calibri"/>
                <w:szCs w:val="24"/>
              </w:rPr>
            </w:pPr>
          </w:p>
        </w:tc>
        <w:tc>
          <w:tcPr>
            <w:tcW w:w="6317"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以</w:t>
            </w:r>
            <w:r>
              <w:rPr>
                <w:rFonts w:hint="eastAsia" w:ascii="仿宋_GB2312" w:eastAsia="仿宋_GB2312"/>
                <w:sz w:val="24"/>
                <w:szCs w:val="24"/>
              </w:rPr>
              <w:t>区</w:t>
            </w:r>
            <w:r>
              <w:rPr>
                <w:rFonts w:hint="eastAsia" w:ascii="仿宋_GB2312" w:hAnsi="Calibri" w:eastAsia="仿宋_GB2312"/>
                <w:sz w:val="24"/>
                <w:szCs w:val="24"/>
              </w:rPr>
              <w:t>为单位，逐村确定厂站选址，绘制勘测定界图，统一上报调整用地性质，成熟一批、上报一批。</w:t>
            </w:r>
          </w:p>
        </w:tc>
        <w:tc>
          <w:tcPr>
            <w:tcW w:w="2541" w:type="dxa"/>
            <w:vAlign w:val="center"/>
          </w:tcPr>
          <w:p>
            <w:pPr>
              <w:widowControl w:val="0"/>
              <w:wordWrap/>
              <w:adjustRightInd/>
              <w:snapToGrid/>
              <w:spacing w:before="0" w:after="0" w:line="300" w:lineRule="exact"/>
              <w:ind w:left="0" w:leftChars="0" w:right="0" w:firstLine="0" w:firstLineChars="0"/>
              <w:jc w:val="center"/>
              <w:textAlignment w:val="auto"/>
              <w:outlineLvl w:val="9"/>
              <w:rPr>
                <w:rFonts w:hint="eastAsia" w:ascii="仿宋_GB2312" w:eastAsia="仿宋_GB2312"/>
                <w:sz w:val="24"/>
                <w:szCs w:val="24"/>
              </w:rPr>
            </w:pPr>
            <w:r>
              <w:rPr>
                <w:rFonts w:hint="eastAsia" w:ascii="仿宋_GB2312" w:eastAsia="仿宋_GB2312"/>
                <w:sz w:val="24"/>
                <w:szCs w:val="24"/>
              </w:rPr>
              <w:t>区住建局</w:t>
            </w:r>
          </w:p>
        </w:tc>
        <w:tc>
          <w:tcPr>
            <w:tcW w:w="2541" w:type="dxa"/>
            <w:vAlign w:val="center"/>
          </w:tcPr>
          <w:p>
            <w:pPr>
              <w:widowControl w:val="0"/>
              <w:wordWrap/>
              <w:adjustRightInd/>
              <w:snapToGrid/>
              <w:spacing w:before="0" w:after="0" w:line="300" w:lineRule="exact"/>
              <w:ind w:left="0" w:leftChars="0" w:right="0" w:firstLine="0" w:firstLineChars="0"/>
              <w:jc w:val="left"/>
              <w:textAlignment w:val="auto"/>
              <w:outlineLvl w:val="9"/>
              <w:rPr>
                <w:rFonts w:ascii="Calibri" w:hAnsi="Calibri"/>
                <w:szCs w:val="24"/>
              </w:rPr>
            </w:pPr>
            <w:r>
              <w:rPr>
                <w:rFonts w:hint="eastAsia" w:ascii="仿宋_GB2312" w:eastAsia="仿宋_GB2312"/>
                <w:sz w:val="24"/>
                <w:szCs w:val="24"/>
              </w:rPr>
              <w:t>区自然资源局</w:t>
            </w:r>
            <w:r>
              <w:rPr>
                <w:rFonts w:hint="eastAsia" w:ascii="仿宋_GB2312" w:eastAsia="仿宋_GB2312"/>
                <w:sz w:val="24"/>
                <w:szCs w:val="24"/>
                <w:lang w:eastAsia="zh-CN"/>
              </w:rPr>
              <w:t>、</w:t>
            </w:r>
            <w:r>
              <w:rPr>
                <w:rFonts w:hint="eastAsia" w:ascii="仿宋_GB2312" w:eastAsia="仿宋_GB2312"/>
                <w:sz w:val="24"/>
                <w:szCs w:val="24"/>
              </w:rPr>
              <w:t>各镇人民政府</w:t>
            </w:r>
          </w:p>
        </w:tc>
        <w:tc>
          <w:tcPr>
            <w:tcW w:w="1263"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64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9</w:t>
            </w:r>
          </w:p>
        </w:tc>
        <w:tc>
          <w:tcPr>
            <w:tcW w:w="118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用地政策</w:t>
            </w:r>
          </w:p>
        </w:tc>
        <w:tc>
          <w:tcPr>
            <w:tcW w:w="6317"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农村生活污水治理项目依法使用国有建设用地或集体建设用地，</w:t>
            </w:r>
            <w:r>
              <w:rPr>
                <w:rFonts w:hint="eastAsia" w:ascii="仿宋_GB2312" w:eastAsia="仿宋_GB2312"/>
                <w:sz w:val="24"/>
                <w:szCs w:val="24"/>
              </w:rPr>
              <w:t>区</w:t>
            </w:r>
            <w:r>
              <w:rPr>
                <w:rFonts w:hint="eastAsia" w:ascii="仿宋_GB2312" w:hAnsi="Calibri" w:eastAsia="仿宋_GB2312"/>
                <w:sz w:val="24"/>
                <w:szCs w:val="24"/>
              </w:rPr>
              <w:t>级按规定分类统筹安排新增建设用地计划指标。同时，村庄规划中预留3％的建设用地指标，用于农村公共公益设施等项目建设用地需求，并开辟用地审批绿色通道，支持单列审批。</w:t>
            </w:r>
          </w:p>
        </w:tc>
        <w:tc>
          <w:tcPr>
            <w:tcW w:w="2541" w:type="dxa"/>
            <w:vAlign w:val="center"/>
          </w:tcPr>
          <w:p>
            <w:pPr>
              <w:topLinePunct/>
              <w:autoSpaceDE w:val="0"/>
              <w:adjustRightInd w:val="0"/>
              <w:snapToGrid w:val="0"/>
              <w:jc w:val="center"/>
              <w:rPr>
                <w:rFonts w:hint="eastAsia" w:ascii="仿宋_GB2312"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自然资源</w:t>
            </w:r>
            <w:r>
              <w:rPr>
                <w:rFonts w:hint="eastAsia" w:ascii="仿宋_GB2312" w:eastAsia="仿宋_GB2312"/>
                <w:sz w:val="24"/>
                <w:szCs w:val="24"/>
              </w:rPr>
              <w:t>局</w:t>
            </w:r>
          </w:p>
        </w:tc>
        <w:tc>
          <w:tcPr>
            <w:tcW w:w="2541" w:type="dxa"/>
            <w:vAlign w:val="center"/>
          </w:tcPr>
          <w:p>
            <w:pPr>
              <w:topLinePunct/>
              <w:autoSpaceDE w:val="0"/>
              <w:adjustRightInd w:val="0"/>
              <w:snapToGrid w:val="0"/>
              <w:jc w:val="left"/>
              <w:rPr>
                <w:rFonts w:ascii="仿宋_GB2312" w:hAnsi="Calibri" w:eastAsia="仿宋_GB2312"/>
                <w:sz w:val="24"/>
                <w:szCs w:val="24"/>
              </w:rPr>
            </w:pPr>
            <w:r>
              <w:rPr>
                <w:rFonts w:hint="eastAsia" w:ascii="仿宋_GB2312" w:eastAsia="仿宋_GB2312"/>
                <w:sz w:val="24"/>
                <w:szCs w:val="24"/>
              </w:rPr>
              <w:t>各镇人民政府</w:t>
            </w:r>
          </w:p>
        </w:tc>
        <w:tc>
          <w:tcPr>
            <w:tcW w:w="1263"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64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1</w:t>
            </w:r>
            <w:r>
              <w:rPr>
                <w:rFonts w:hint="eastAsia" w:ascii="仿宋_GB2312" w:eastAsia="仿宋_GB2312"/>
                <w:sz w:val="24"/>
                <w:szCs w:val="24"/>
              </w:rPr>
              <w:t>0</w:t>
            </w:r>
          </w:p>
        </w:tc>
        <w:tc>
          <w:tcPr>
            <w:tcW w:w="1182" w:type="dxa"/>
            <w:vMerge w:val="restart"/>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社会共治</w:t>
            </w:r>
          </w:p>
        </w:tc>
        <w:tc>
          <w:tcPr>
            <w:tcW w:w="6317" w:type="dxa"/>
            <w:vAlign w:val="center"/>
          </w:tcPr>
          <w:p>
            <w:pPr>
              <w:keepNext/>
              <w:keepLines/>
              <w:topLinePunct/>
              <w:autoSpaceDE w:val="0"/>
              <w:adjustRightInd w:val="0"/>
              <w:snapToGrid w:val="0"/>
              <w:spacing w:line="300" w:lineRule="exact"/>
              <w:rPr>
                <w:rFonts w:ascii="仿宋_GB2312" w:hAnsi="Calibri" w:eastAsia="仿宋_GB2312"/>
                <w:sz w:val="24"/>
                <w:szCs w:val="24"/>
              </w:rPr>
            </w:pPr>
            <w:r>
              <w:rPr>
                <w:rFonts w:hint="eastAsia" w:ascii="仿宋_GB2312" w:hAnsi="Calibri" w:eastAsia="仿宋_GB2312"/>
                <w:sz w:val="24"/>
                <w:szCs w:val="24"/>
              </w:rPr>
              <w:t>加强基层协管力量，将农村污水处理设施及管网的日常巡查纳入综治网格化、村级协管队伍的工作范畴</w:t>
            </w:r>
            <w:r>
              <w:rPr>
                <w:rFonts w:hint="eastAsia" w:ascii="仿宋_GB2312" w:eastAsia="仿宋_GB2312"/>
                <w:sz w:val="24"/>
                <w:szCs w:val="24"/>
              </w:rPr>
              <w:t>，</w:t>
            </w:r>
            <w:r>
              <w:rPr>
                <w:rFonts w:hint="eastAsia" w:ascii="仿宋_GB2312" w:eastAsia="仿宋_GB2312"/>
                <w:sz w:val="24"/>
                <w:szCs w:val="24"/>
                <w:lang w:val="en-US" w:eastAsia="zh-CN"/>
              </w:rPr>
              <w:t>聘请专职人员，工作经费纳入财政预算</w:t>
            </w:r>
            <w:r>
              <w:rPr>
                <w:rFonts w:hint="eastAsia" w:ascii="仿宋_GB2312" w:hAnsi="Calibri" w:eastAsia="仿宋_GB2312"/>
                <w:sz w:val="24"/>
                <w:szCs w:val="24"/>
              </w:rPr>
              <w:t>。</w:t>
            </w:r>
          </w:p>
        </w:tc>
        <w:tc>
          <w:tcPr>
            <w:tcW w:w="2541" w:type="dxa"/>
            <w:vAlign w:val="center"/>
          </w:tcPr>
          <w:p>
            <w:pPr>
              <w:topLinePunct/>
              <w:autoSpaceDE w:val="0"/>
              <w:adjustRightInd w:val="0"/>
              <w:snapToGrid w:val="0"/>
              <w:jc w:val="center"/>
              <w:rPr>
                <w:rFonts w:hint="eastAsia" w:ascii="仿宋_GB2312" w:eastAsia="仿宋_GB2312"/>
                <w:sz w:val="24"/>
                <w:szCs w:val="24"/>
              </w:rPr>
            </w:pPr>
            <w:r>
              <w:rPr>
                <w:rFonts w:hint="eastAsia" w:ascii="仿宋_GB2312" w:eastAsia="仿宋_GB2312"/>
                <w:sz w:val="24"/>
                <w:szCs w:val="24"/>
              </w:rPr>
              <w:t>各镇人民政府</w:t>
            </w:r>
          </w:p>
        </w:tc>
        <w:tc>
          <w:tcPr>
            <w:tcW w:w="2541" w:type="dxa"/>
            <w:vAlign w:val="center"/>
          </w:tcPr>
          <w:p>
            <w:pPr>
              <w:topLinePunct/>
              <w:autoSpaceDE w:val="0"/>
              <w:adjustRightInd w:val="0"/>
              <w:snapToGrid w:val="0"/>
              <w:jc w:val="left"/>
              <w:rPr>
                <w:rFonts w:ascii="仿宋_GB2312" w:hAnsi="Calibri" w:eastAsia="仿宋_GB2312"/>
                <w:sz w:val="24"/>
                <w:szCs w:val="24"/>
              </w:rPr>
            </w:pPr>
            <w:r>
              <w:rPr>
                <w:rFonts w:hint="eastAsia" w:ascii="仿宋_GB2312" w:eastAsia="仿宋_GB2312"/>
                <w:sz w:val="24"/>
                <w:szCs w:val="24"/>
              </w:rPr>
              <w:t>秀屿生态环境局、区农业农村局、区住建局、区财政局</w:t>
            </w:r>
          </w:p>
        </w:tc>
        <w:tc>
          <w:tcPr>
            <w:tcW w:w="1263"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202</w:t>
            </w:r>
            <w:r>
              <w:rPr>
                <w:rFonts w:hint="eastAsia" w:ascii="仿宋_GB2312" w:eastAsia="仿宋_GB2312"/>
                <w:sz w:val="24"/>
                <w:szCs w:val="24"/>
              </w:rPr>
              <w:t>2</w:t>
            </w:r>
            <w:r>
              <w:rPr>
                <w:rFonts w:hint="eastAsia" w:ascii="仿宋_GB2312" w:hAnsi="Calibri" w:eastAsia="仿宋_GB231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42"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11</w:t>
            </w:r>
          </w:p>
        </w:tc>
        <w:tc>
          <w:tcPr>
            <w:tcW w:w="1182" w:type="dxa"/>
            <w:vMerge w:val="continue"/>
            <w:vAlign w:val="center"/>
          </w:tcPr>
          <w:p>
            <w:pPr>
              <w:rPr>
                <w:rFonts w:ascii="Calibri" w:hAnsi="Calibri"/>
                <w:szCs w:val="24"/>
              </w:rPr>
            </w:pPr>
          </w:p>
        </w:tc>
        <w:tc>
          <w:tcPr>
            <w:tcW w:w="6317" w:type="dxa"/>
            <w:vAlign w:val="center"/>
          </w:tcPr>
          <w:p>
            <w:pPr>
              <w:keepNext/>
              <w:keepLines/>
              <w:topLinePunct/>
              <w:autoSpaceDE w:val="0"/>
              <w:adjustRightInd w:val="0"/>
              <w:snapToGrid w:val="0"/>
              <w:spacing w:line="300" w:lineRule="exact"/>
              <w:rPr>
                <w:rFonts w:ascii="仿宋_GB2312" w:hAnsi="Calibri" w:eastAsia="仿宋_GB2312"/>
                <w:sz w:val="24"/>
                <w:szCs w:val="24"/>
              </w:rPr>
            </w:pPr>
            <w:r>
              <w:rPr>
                <w:rFonts w:hint="eastAsia" w:ascii="仿宋_GB2312" w:hAnsi="Calibri" w:eastAsia="仿宋_GB2312"/>
                <w:sz w:val="24"/>
                <w:szCs w:val="24"/>
              </w:rPr>
              <w:t>依托农村人居举报平台和生态环境部门信访举报平台，畅通群众信访举报渠道。</w:t>
            </w:r>
          </w:p>
        </w:tc>
        <w:tc>
          <w:tcPr>
            <w:tcW w:w="2541" w:type="dxa"/>
            <w:vAlign w:val="center"/>
          </w:tcPr>
          <w:p>
            <w:pPr>
              <w:topLinePunct/>
              <w:autoSpaceDE w:val="0"/>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r>
              <w:rPr>
                <w:rFonts w:hint="eastAsia" w:ascii="仿宋_GB2312" w:eastAsia="仿宋_GB2312"/>
                <w:sz w:val="24"/>
                <w:szCs w:val="24"/>
                <w:lang w:eastAsia="zh-CN"/>
              </w:rPr>
              <w:t>、</w:t>
            </w:r>
            <w:r>
              <w:rPr>
                <w:rFonts w:hint="eastAsia" w:ascii="仿宋_GB2312" w:eastAsia="仿宋_GB2312"/>
                <w:sz w:val="24"/>
                <w:szCs w:val="24"/>
                <w:lang w:val="en-US" w:eastAsia="zh-CN"/>
              </w:rPr>
              <w:t xml:space="preserve">     </w:t>
            </w:r>
            <w:r>
              <w:rPr>
                <w:rFonts w:hint="eastAsia" w:ascii="仿宋_GB2312" w:eastAsia="仿宋_GB2312"/>
                <w:sz w:val="24"/>
                <w:szCs w:val="24"/>
              </w:rPr>
              <w:t>区</w:t>
            </w:r>
            <w:r>
              <w:rPr>
                <w:rFonts w:hint="eastAsia" w:ascii="仿宋_GB2312" w:hAnsi="Calibri" w:eastAsia="仿宋_GB2312"/>
                <w:sz w:val="24"/>
                <w:szCs w:val="24"/>
              </w:rPr>
              <w:t>农业农村</w:t>
            </w:r>
            <w:r>
              <w:rPr>
                <w:rFonts w:hint="eastAsia" w:ascii="仿宋_GB2312" w:eastAsia="仿宋_GB2312"/>
                <w:sz w:val="24"/>
                <w:szCs w:val="24"/>
              </w:rPr>
              <w:t>局</w:t>
            </w:r>
          </w:p>
        </w:tc>
        <w:tc>
          <w:tcPr>
            <w:tcW w:w="2541" w:type="dxa"/>
            <w:vAlign w:val="center"/>
          </w:tcPr>
          <w:p>
            <w:pPr>
              <w:topLinePunct/>
              <w:autoSpaceDE w:val="0"/>
              <w:adjustRightInd w:val="0"/>
              <w:snapToGrid w:val="0"/>
              <w:jc w:val="left"/>
              <w:rPr>
                <w:rFonts w:ascii="仿宋_GB2312" w:hAnsi="Calibri" w:eastAsia="仿宋_GB2312"/>
                <w:sz w:val="24"/>
                <w:szCs w:val="24"/>
              </w:rPr>
            </w:pPr>
            <w:r>
              <w:rPr>
                <w:rFonts w:hint="eastAsia" w:ascii="仿宋_GB2312" w:eastAsia="仿宋_GB2312"/>
                <w:sz w:val="24"/>
                <w:szCs w:val="24"/>
              </w:rPr>
              <w:t>各镇人民政府</w:t>
            </w:r>
          </w:p>
        </w:tc>
        <w:tc>
          <w:tcPr>
            <w:tcW w:w="1263"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202</w:t>
            </w:r>
            <w:r>
              <w:rPr>
                <w:rFonts w:hint="eastAsia" w:ascii="仿宋_GB2312" w:eastAsia="仿宋_GB2312"/>
                <w:sz w:val="24"/>
                <w:szCs w:val="24"/>
              </w:rPr>
              <w:t>2</w:t>
            </w:r>
            <w:r>
              <w:rPr>
                <w:rFonts w:hint="eastAsia" w:ascii="仿宋_GB2312" w:hAnsi="Calibri" w:eastAsia="仿宋_GB231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642" w:type="dxa"/>
            <w:vAlign w:val="center"/>
          </w:tcPr>
          <w:p>
            <w:pPr>
              <w:jc w:val="center"/>
              <w:rPr>
                <w:rFonts w:ascii="仿宋_GB2312" w:hAnsi="Calibri" w:eastAsia="仿宋_GB2312"/>
                <w:sz w:val="24"/>
                <w:szCs w:val="24"/>
              </w:rPr>
            </w:pPr>
            <w:r>
              <w:rPr>
                <w:rFonts w:hint="eastAsia" w:ascii="仿宋_GB2312" w:hAnsi="Calibri" w:eastAsia="仿宋_GB2312"/>
                <w:sz w:val="24"/>
                <w:szCs w:val="24"/>
              </w:rPr>
              <w:t>12</w:t>
            </w:r>
          </w:p>
        </w:tc>
        <w:tc>
          <w:tcPr>
            <w:tcW w:w="1182" w:type="dxa"/>
            <w:vMerge w:val="restart"/>
            <w:vAlign w:val="center"/>
          </w:tcPr>
          <w:p>
            <w:pPr>
              <w:topLinePunct/>
              <w:autoSpaceDE w:val="0"/>
              <w:adjustRightInd w:val="0"/>
              <w:snapToGrid w:val="0"/>
              <w:jc w:val="center"/>
              <w:rPr>
                <w:rFonts w:ascii="仿宋_GB2312" w:hAnsi="Calibri" w:eastAsia="仿宋_GB2312"/>
                <w:sz w:val="24"/>
                <w:szCs w:val="24"/>
              </w:rPr>
            </w:pPr>
            <w:r>
              <w:rPr>
                <w:rFonts w:hint="eastAsia" w:ascii="仿宋_GB2312" w:eastAsia="仿宋_GB2312"/>
                <w:sz w:val="24"/>
                <w:szCs w:val="24"/>
              </w:rPr>
              <w:t>成效</w:t>
            </w:r>
            <w:r>
              <w:rPr>
                <w:rFonts w:hint="eastAsia" w:ascii="仿宋_GB2312" w:hAnsi="Calibri" w:eastAsia="仿宋_GB2312"/>
                <w:sz w:val="24"/>
                <w:szCs w:val="24"/>
              </w:rPr>
              <w:t>管理</w:t>
            </w:r>
          </w:p>
        </w:tc>
        <w:tc>
          <w:tcPr>
            <w:tcW w:w="6317" w:type="dxa"/>
            <w:vAlign w:val="center"/>
          </w:tcPr>
          <w:p>
            <w:pPr>
              <w:keepNext/>
              <w:keepLines/>
              <w:topLinePunct/>
              <w:autoSpaceDE w:val="0"/>
              <w:adjustRightInd w:val="0"/>
              <w:snapToGrid w:val="0"/>
              <w:spacing w:line="300" w:lineRule="exact"/>
              <w:rPr>
                <w:rFonts w:ascii="仿宋_GB2312" w:hAnsi="Calibri" w:eastAsia="仿宋_GB2312"/>
                <w:sz w:val="24"/>
                <w:szCs w:val="24"/>
              </w:rPr>
            </w:pPr>
            <w:r>
              <w:rPr>
                <w:rFonts w:hint="eastAsia" w:ascii="仿宋_GB2312" w:hAnsi="Calibri" w:eastAsia="仿宋_GB2312"/>
                <w:sz w:val="24"/>
                <w:szCs w:val="24"/>
              </w:rPr>
              <w:t>探索智慧监管模式，实现远程监控</w:t>
            </w:r>
            <w:r>
              <w:rPr>
                <w:rFonts w:hint="eastAsia" w:ascii="仿宋_GB2312" w:hAnsi="Calibri" w:eastAsia="仿宋_GB2312"/>
                <w:sz w:val="24"/>
                <w:szCs w:val="24"/>
                <w:lang w:eastAsia="zh-CN"/>
              </w:rPr>
              <w:t>、</w:t>
            </w:r>
            <w:r>
              <w:rPr>
                <w:rFonts w:hint="eastAsia" w:ascii="仿宋_GB2312" w:hAnsi="Calibri" w:eastAsia="仿宋_GB2312"/>
                <w:sz w:val="24"/>
                <w:szCs w:val="24"/>
                <w:lang w:val="en-US" w:eastAsia="zh-CN"/>
              </w:rPr>
              <w:t>任务在线调度管理、问题及时转办督办、整改限期落实反馈</w:t>
            </w:r>
            <w:r>
              <w:rPr>
                <w:rFonts w:hint="eastAsia" w:ascii="仿宋_GB2312" w:hAnsi="Calibri" w:eastAsia="仿宋_GB2312"/>
                <w:sz w:val="24"/>
                <w:szCs w:val="24"/>
              </w:rPr>
              <w:t>。</w:t>
            </w:r>
          </w:p>
        </w:tc>
        <w:tc>
          <w:tcPr>
            <w:tcW w:w="2541" w:type="dxa"/>
            <w:vAlign w:val="center"/>
          </w:tcPr>
          <w:p>
            <w:pPr>
              <w:topLinePunct/>
              <w:autoSpaceDE w:val="0"/>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r>
              <w:rPr>
                <w:rFonts w:hint="eastAsia" w:ascii="仿宋_GB2312" w:eastAsia="仿宋_GB2312"/>
                <w:sz w:val="24"/>
                <w:szCs w:val="24"/>
                <w:lang w:val="en-US" w:eastAsia="zh-CN"/>
              </w:rPr>
              <w:t xml:space="preserve">  </w:t>
            </w: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p>
        </w:tc>
        <w:tc>
          <w:tcPr>
            <w:tcW w:w="2541" w:type="dxa"/>
            <w:vAlign w:val="center"/>
          </w:tcPr>
          <w:p>
            <w:pPr>
              <w:topLinePunct/>
              <w:autoSpaceDE w:val="0"/>
              <w:adjustRightInd w:val="0"/>
              <w:snapToGrid w:val="0"/>
              <w:jc w:val="left"/>
              <w:rPr>
                <w:rFonts w:ascii="仿宋_GB2312" w:hAnsi="Calibri"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农业农村</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各镇人民政府、上航水环境公司</w:t>
            </w:r>
          </w:p>
        </w:tc>
        <w:tc>
          <w:tcPr>
            <w:tcW w:w="1263"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642" w:type="dxa"/>
            <w:vAlign w:val="center"/>
          </w:tcPr>
          <w:p>
            <w:pPr>
              <w:jc w:val="center"/>
              <w:rPr>
                <w:rFonts w:ascii="仿宋_GB2312" w:hAnsi="Calibri" w:eastAsia="仿宋_GB2312"/>
                <w:sz w:val="24"/>
                <w:szCs w:val="24"/>
              </w:rPr>
            </w:pPr>
            <w:r>
              <w:rPr>
                <w:rFonts w:ascii="仿宋_GB2312" w:hAnsi="Calibri" w:eastAsia="仿宋_GB2312"/>
                <w:sz w:val="24"/>
                <w:szCs w:val="24"/>
              </w:rPr>
              <w:t>1</w:t>
            </w:r>
            <w:r>
              <w:rPr>
                <w:rFonts w:hint="eastAsia" w:ascii="仿宋_GB2312" w:eastAsia="仿宋_GB2312"/>
                <w:sz w:val="24"/>
                <w:szCs w:val="24"/>
              </w:rPr>
              <w:t>3</w:t>
            </w:r>
          </w:p>
        </w:tc>
        <w:tc>
          <w:tcPr>
            <w:tcW w:w="1182" w:type="dxa"/>
            <w:vMerge w:val="continue"/>
            <w:vAlign w:val="center"/>
          </w:tcPr>
          <w:p>
            <w:pPr>
              <w:rPr>
                <w:rFonts w:ascii="Calibri" w:hAnsi="Calibri"/>
                <w:szCs w:val="24"/>
              </w:rPr>
            </w:pPr>
          </w:p>
        </w:tc>
        <w:tc>
          <w:tcPr>
            <w:tcW w:w="6317" w:type="dxa"/>
            <w:vAlign w:val="center"/>
          </w:tcPr>
          <w:p>
            <w:pPr>
              <w:keepNext/>
              <w:keepLines/>
              <w:topLinePunct/>
              <w:autoSpaceDE w:val="0"/>
              <w:adjustRightInd w:val="0"/>
              <w:snapToGrid w:val="0"/>
              <w:spacing w:line="300" w:lineRule="exact"/>
              <w:rPr>
                <w:rFonts w:ascii="仿宋_GB2312" w:hAnsi="Calibri" w:eastAsia="仿宋_GB2312"/>
                <w:sz w:val="24"/>
                <w:szCs w:val="24"/>
              </w:rPr>
            </w:pPr>
            <w:r>
              <w:rPr>
                <w:rFonts w:hint="eastAsia" w:ascii="仿宋_GB2312" w:hAnsi="Calibri" w:eastAsia="仿宋_GB2312"/>
                <w:sz w:val="24"/>
                <w:szCs w:val="24"/>
              </w:rPr>
              <w:t>每年开展</w:t>
            </w:r>
            <w:r>
              <w:rPr>
                <w:rFonts w:hint="eastAsia" w:ascii="仿宋_GB2312" w:eastAsia="仿宋_GB2312"/>
                <w:sz w:val="24"/>
                <w:szCs w:val="24"/>
              </w:rPr>
              <w:t>成效</w:t>
            </w:r>
            <w:r>
              <w:rPr>
                <w:rFonts w:hint="eastAsia" w:ascii="仿宋_GB2312" w:hAnsi="Calibri" w:eastAsia="仿宋_GB2312"/>
                <w:sz w:val="24"/>
                <w:szCs w:val="24"/>
              </w:rPr>
              <w:t>评估，加强评估结果应用。</w:t>
            </w:r>
          </w:p>
        </w:tc>
        <w:tc>
          <w:tcPr>
            <w:tcW w:w="2541" w:type="dxa"/>
            <w:vAlign w:val="center"/>
          </w:tcPr>
          <w:p>
            <w:pPr>
              <w:topLinePunct/>
              <w:autoSpaceDE w:val="0"/>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r>
              <w:rPr>
                <w:rFonts w:hint="eastAsia" w:ascii="仿宋_GB2312" w:eastAsia="仿宋_GB2312"/>
                <w:sz w:val="24"/>
                <w:szCs w:val="24"/>
                <w:lang w:val="en-US" w:eastAsia="zh-CN"/>
              </w:rPr>
              <w:t xml:space="preserve">        秀屿生态环境局</w:t>
            </w:r>
          </w:p>
        </w:tc>
        <w:tc>
          <w:tcPr>
            <w:tcW w:w="2541" w:type="dxa"/>
            <w:vAlign w:val="center"/>
          </w:tcPr>
          <w:p>
            <w:pPr>
              <w:topLinePunct/>
              <w:autoSpaceDE w:val="0"/>
              <w:adjustRightInd w:val="0"/>
              <w:snapToGrid w:val="0"/>
              <w:jc w:val="left"/>
              <w:rPr>
                <w:rFonts w:ascii="仿宋_GB2312" w:hAnsi="Calibri"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发改</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区</w:t>
            </w:r>
            <w:r>
              <w:rPr>
                <w:rFonts w:hint="eastAsia" w:ascii="仿宋_GB2312" w:hAnsi="Calibri" w:eastAsia="仿宋_GB2312"/>
                <w:sz w:val="24"/>
                <w:szCs w:val="24"/>
              </w:rPr>
              <w:t>农业农村</w:t>
            </w:r>
            <w:r>
              <w:rPr>
                <w:rFonts w:hint="eastAsia" w:ascii="仿宋_GB2312" w:eastAsia="仿宋_GB2312"/>
                <w:sz w:val="24"/>
                <w:szCs w:val="24"/>
              </w:rPr>
              <w:t>局</w:t>
            </w:r>
            <w:r>
              <w:rPr>
                <w:rFonts w:hint="eastAsia" w:ascii="仿宋_GB2312" w:hAnsi="Calibri" w:eastAsia="仿宋_GB2312"/>
                <w:sz w:val="24"/>
                <w:szCs w:val="24"/>
              </w:rPr>
              <w:t>、</w:t>
            </w:r>
            <w:r>
              <w:rPr>
                <w:rFonts w:hint="eastAsia" w:ascii="仿宋_GB2312" w:eastAsia="仿宋_GB2312"/>
                <w:sz w:val="24"/>
                <w:szCs w:val="24"/>
              </w:rPr>
              <w:t>各镇人民政府</w:t>
            </w:r>
          </w:p>
        </w:tc>
        <w:tc>
          <w:tcPr>
            <w:tcW w:w="1263"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642" w:type="dxa"/>
            <w:vAlign w:val="center"/>
          </w:tcPr>
          <w:p>
            <w:pPr>
              <w:jc w:val="center"/>
              <w:rPr>
                <w:rFonts w:ascii="仿宋_GB2312" w:hAnsi="Calibri" w:eastAsia="仿宋_GB2312"/>
                <w:sz w:val="24"/>
                <w:szCs w:val="24"/>
              </w:rPr>
            </w:pPr>
            <w:r>
              <w:rPr>
                <w:rFonts w:hint="eastAsia" w:ascii="仿宋_GB2312" w:hAnsi="Calibri" w:eastAsia="仿宋_GB2312"/>
                <w:sz w:val="24"/>
                <w:szCs w:val="24"/>
              </w:rPr>
              <w:t>1</w:t>
            </w:r>
            <w:r>
              <w:rPr>
                <w:rFonts w:hint="eastAsia" w:ascii="仿宋_GB2312" w:eastAsia="仿宋_GB2312"/>
                <w:sz w:val="24"/>
                <w:szCs w:val="24"/>
              </w:rPr>
              <w:t>4</w:t>
            </w:r>
          </w:p>
        </w:tc>
        <w:tc>
          <w:tcPr>
            <w:tcW w:w="1182" w:type="dxa"/>
            <w:vMerge w:val="continue"/>
            <w:vAlign w:val="center"/>
          </w:tcPr>
          <w:p>
            <w:pPr>
              <w:rPr>
                <w:rFonts w:ascii="Calibri" w:hAnsi="Calibri"/>
                <w:szCs w:val="24"/>
              </w:rPr>
            </w:pPr>
          </w:p>
        </w:tc>
        <w:tc>
          <w:tcPr>
            <w:tcW w:w="6317" w:type="dxa"/>
            <w:vAlign w:val="center"/>
          </w:tcPr>
          <w:p>
            <w:pPr>
              <w:keepNext/>
              <w:keepLines/>
              <w:topLinePunct/>
              <w:autoSpaceDE w:val="0"/>
              <w:adjustRightInd w:val="0"/>
              <w:snapToGrid w:val="0"/>
              <w:spacing w:line="300" w:lineRule="exact"/>
              <w:rPr>
                <w:rFonts w:ascii="仿宋_GB2312" w:hAnsi="Calibri" w:eastAsia="仿宋_GB2312"/>
                <w:sz w:val="24"/>
                <w:szCs w:val="24"/>
              </w:rPr>
            </w:pPr>
            <w:r>
              <w:rPr>
                <w:rFonts w:hint="eastAsia" w:ascii="仿宋_GB2312" w:hAnsi="Calibri" w:eastAsia="仿宋_GB2312"/>
                <w:sz w:val="24"/>
                <w:szCs w:val="24"/>
              </w:rPr>
              <w:t>坚持厂站与管网、进水浓度与出水水质统筹，按照管网配套情况、污水收集情况、尾水达标情况等实行以效付费。</w:t>
            </w:r>
          </w:p>
        </w:tc>
        <w:tc>
          <w:tcPr>
            <w:tcW w:w="2541" w:type="dxa"/>
            <w:vAlign w:val="center"/>
          </w:tcPr>
          <w:p>
            <w:pPr>
              <w:topLinePunct/>
              <w:autoSpaceDE w:val="0"/>
              <w:adjustRightInd w:val="0"/>
              <w:snapToGrid w:val="0"/>
              <w:jc w:val="center"/>
              <w:rPr>
                <w:rFonts w:hint="eastAsia" w:ascii="仿宋_GB2312" w:eastAsia="仿宋_GB2312"/>
                <w:sz w:val="24"/>
                <w:szCs w:val="24"/>
              </w:rPr>
            </w:pPr>
            <w:r>
              <w:rPr>
                <w:rFonts w:hint="eastAsia" w:ascii="仿宋_GB2312" w:eastAsia="仿宋_GB2312"/>
                <w:sz w:val="24"/>
                <w:szCs w:val="24"/>
              </w:rPr>
              <w:t>区</w:t>
            </w:r>
            <w:r>
              <w:rPr>
                <w:rFonts w:hint="eastAsia" w:ascii="仿宋_GB2312" w:hAnsi="Calibri" w:eastAsia="仿宋_GB2312"/>
                <w:sz w:val="24"/>
                <w:szCs w:val="24"/>
              </w:rPr>
              <w:t>住建</w:t>
            </w:r>
            <w:r>
              <w:rPr>
                <w:rFonts w:hint="eastAsia" w:ascii="仿宋_GB2312" w:eastAsia="仿宋_GB2312"/>
                <w:sz w:val="24"/>
                <w:szCs w:val="24"/>
              </w:rPr>
              <w:t>局</w:t>
            </w:r>
          </w:p>
        </w:tc>
        <w:tc>
          <w:tcPr>
            <w:tcW w:w="2541" w:type="dxa"/>
            <w:vAlign w:val="center"/>
          </w:tcPr>
          <w:p>
            <w:pPr>
              <w:topLinePunct/>
              <w:autoSpaceDE w:val="0"/>
              <w:adjustRightInd w:val="0"/>
              <w:snapToGrid w:val="0"/>
              <w:jc w:val="left"/>
              <w:rPr>
                <w:rFonts w:ascii="仿宋_GB2312" w:hAnsi="Calibri" w:eastAsia="仿宋_GB2312"/>
                <w:sz w:val="24"/>
                <w:szCs w:val="24"/>
              </w:rPr>
            </w:pP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局、各镇人民政府</w:t>
            </w:r>
          </w:p>
        </w:tc>
        <w:tc>
          <w:tcPr>
            <w:tcW w:w="1263"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642" w:type="dxa"/>
            <w:vAlign w:val="center"/>
          </w:tcPr>
          <w:p>
            <w:pPr>
              <w:jc w:val="center"/>
              <w:rPr>
                <w:rFonts w:ascii="仿宋_GB2312" w:hAnsi="Calibri" w:eastAsia="仿宋_GB2312"/>
                <w:sz w:val="24"/>
                <w:szCs w:val="24"/>
              </w:rPr>
            </w:pPr>
            <w:r>
              <w:rPr>
                <w:rFonts w:hint="eastAsia" w:ascii="仿宋_GB2312" w:eastAsia="仿宋_GB2312"/>
                <w:sz w:val="24"/>
                <w:szCs w:val="24"/>
              </w:rPr>
              <w:t>15</w:t>
            </w:r>
          </w:p>
        </w:tc>
        <w:tc>
          <w:tcPr>
            <w:tcW w:w="1182" w:type="dxa"/>
            <w:vMerge w:val="restart"/>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考核奖惩</w:t>
            </w:r>
          </w:p>
        </w:tc>
        <w:tc>
          <w:tcPr>
            <w:tcW w:w="6317"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建立评先挂钩机制，将农村生活污水治理成效与乡村振兴实效考评、文明村镇等相关创先评优示范工作挂钩。</w:t>
            </w:r>
          </w:p>
        </w:tc>
        <w:tc>
          <w:tcPr>
            <w:tcW w:w="2541" w:type="dxa"/>
            <w:vAlign w:val="center"/>
          </w:tcPr>
          <w:p>
            <w:pPr>
              <w:topLinePunct/>
              <w:autoSpaceDE w:val="0"/>
              <w:adjustRightInd w:val="0"/>
              <w:snapToGrid w:val="0"/>
              <w:jc w:val="center"/>
              <w:rPr>
                <w:rFonts w:hint="eastAsia" w:ascii="仿宋_GB2312" w:hAnsi="Calibri" w:eastAsia="仿宋_GB2312"/>
                <w:sz w:val="24"/>
                <w:szCs w:val="24"/>
                <w:lang w:val="en-US" w:eastAsia="zh-CN"/>
              </w:rPr>
            </w:pPr>
            <w:r>
              <w:rPr>
                <w:rFonts w:hint="eastAsia" w:ascii="仿宋_GB2312" w:hAnsi="Calibri" w:eastAsia="仿宋_GB2312"/>
                <w:sz w:val="24"/>
                <w:szCs w:val="24"/>
                <w:lang w:val="en-US" w:eastAsia="zh-CN"/>
              </w:rPr>
              <w:t xml:space="preserve"> 秀屿生态环境局、     区农业农村局</w:t>
            </w:r>
          </w:p>
        </w:tc>
        <w:tc>
          <w:tcPr>
            <w:tcW w:w="2541" w:type="dxa"/>
            <w:vAlign w:val="center"/>
          </w:tcPr>
          <w:p>
            <w:pPr>
              <w:topLinePunct/>
              <w:autoSpaceDE w:val="0"/>
              <w:adjustRightInd w:val="0"/>
              <w:snapToGrid w:val="0"/>
              <w:jc w:val="left"/>
              <w:rPr>
                <w:rFonts w:hint="eastAsia" w:ascii="仿宋_GB2312" w:hAnsi="Calibri" w:eastAsia="仿宋_GB2312"/>
                <w:sz w:val="24"/>
                <w:szCs w:val="24"/>
                <w:lang w:val="en-US" w:eastAsia="zh-CN"/>
              </w:rPr>
            </w:pPr>
            <w:r>
              <w:rPr>
                <w:rFonts w:hint="eastAsia" w:ascii="仿宋_GB2312" w:hAnsi="Calibri" w:eastAsia="仿宋_GB2312"/>
                <w:sz w:val="24"/>
                <w:szCs w:val="24"/>
                <w:lang w:val="en-US" w:eastAsia="zh-CN"/>
              </w:rPr>
              <w:t>各镇人民政府</w:t>
            </w:r>
          </w:p>
        </w:tc>
        <w:tc>
          <w:tcPr>
            <w:tcW w:w="1263"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642" w:type="dxa"/>
            <w:vAlign w:val="center"/>
          </w:tcPr>
          <w:p>
            <w:pPr>
              <w:jc w:val="center"/>
              <w:rPr>
                <w:rFonts w:ascii="仿宋_GB2312" w:hAnsi="Calibri" w:eastAsia="仿宋_GB2312"/>
                <w:sz w:val="24"/>
                <w:szCs w:val="24"/>
              </w:rPr>
            </w:pPr>
            <w:r>
              <w:rPr>
                <w:rFonts w:hint="eastAsia" w:ascii="仿宋_GB2312" w:eastAsia="仿宋_GB2312"/>
                <w:sz w:val="24"/>
                <w:szCs w:val="24"/>
              </w:rPr>
              <w:t>16</w:t>
            </w:r>
          </w:p>
        </w:tc>
        <w:tc>
          <w:tcPr>
            <w:tcW w:w="1182" w:type="dxa"/>
            <w:vMerge w:val="continue"/>
            <w:vAlign w:val="center"/>
          </w:tcPr>
          <w:p>
            <w:pPr>
              <w:rPr>
                <w:rFonts w:ascii="Calibri" w:hAnsi="Calibri"/>
                <w:szCs w:val="24"/>
              </w:rPr>
            </w:pPr>
          </w:p>
        </w:tc>
        <w:tc>
          <w:tcPr>
            <w:tcW w:w="6317" w:type="dxa"/>
            <w:vAlign w:val="center"/>
          </w:tcPr>
          <w:p>
            <w:pPr>
              <w:topLinePunct/>
              <w:autoSpaceDE w:val="0"/>
              <w:adjustRightInd w:val="0"/>
              <w:snapToGrid w:val="0"/>
              <w:rPr>
                <w:rFonts w:ascii="仿宋_GB2312" w:hAnsi="Calibri" w:eastAsia="仿宋_GB2312"/>
                <w:sz w:val="24"/>
                <w:szCs w:val="24"/>
              </w:rPr>
            </w:pPr>
            <w:r>
              <w:rPr>
                <w:rFonts w:hint="eastAsia" w:ascii="仿宋_GB2312" w:hAnsi="Calibri" w:eastAsia="仿宋_GB2312"/>
                <w:sz w:val="24"/>
                <w:szCs w:val="24"/>
              </w:rPr>
              <w:t>完善督导考核机制，将农村生活污水治理列为乡村振兴、农村人居环境整治、河湖长制、绿盈乡村</w:t>
            </w:r>
            <w:r>
              <w:rPr>
                <w:rFonts w:hint="eastAsia" w:ascii="仿宋_GB2312" w:eastAsia="仿宋_GB2312"/>
                <w:sz w:val="24"/>
                <w:szCs w:val="24"/>
              </w:rPr>
              <w:t>创建</w:t>
            </w:r>
            <w:r>
              <w:rPr>
                <w:rFonts w:hint="eastAsia" w:ascii="仿宋_GB2312" w:hAnsi="Calibri" w:eastAsia="仿宋_GB2312"/>
                <w:sz w:val="24"/>
                <w:szCs w:val="24"/>
              </w:rPr>
              <w:t>约束性指标，加强监督考核。</w:t>
            </w:r>
          </w:p>
        </w:tc>
        <w:tc>
          <w:tcPr>
            <w:tcW w:w="2541" w:type="dxa"/>
            <w:vAlign w:val="center"/>
          </w:tcPr>
          <w:p>
            <w:pPr>
              <w:topLinePunct/>
              <w:autoSpaceDE w:val="0"/>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秀屿</w:t>
            </w:r>
            <w:r>
              <w:rPr>
                <w:rFonts w:hint="eastAsia" w:ascii="仿宋_GB2312" w:hAnsi="Calibri" w:eastAsia="仿宋_GB2312"/>
                <w:sz w:val="24"/>
                <w:szCs w:val="24"/>
              </w:rPr>
              <w:t>生态环境</w:t>
            </w:r>
            <w:r>
              <w:rPr>
                <w:rFonts w:hint="eastAsia" w:ascii="仿宋_GB2312" w:eastAsia="仿宋_GB2312"/>
                <w:sz w:val="24"/>
                <w:szCs w:val="24"/>
              </w:rPr>
              <w:t>局、</w:t>
            </w:r>
            <w:r>
              <w:rPr>
                <w:rFonts w:hint="eastAsia" w:ascii="仿宋_GB2312" w:eastAsia="仿宋_GB2312"/>
                <w:sz w:val="24"/>
                <w:szCs w:val="24"/>
                <w:lang w:val="en-US" w:eastAsia="zh-CN"/>
              </w:rPr>
              <w:t xml:space="preserve">     </w:t>
            </w:r>
            <w:r>
              <w:rPr>
                <w:rFonts w:hint="eastAsia" w:ascii="仿宋_GB2312" w:eastAsia="仿宋_GB2312"/>
                <w:sz w:val="24"/>
                <w:szCs w:val="24"/>
              </w:rPr>
              <w:t>区住建局</w:t>
            </w:r>
          </w:p>
        </w:tc>
        <w:tc>
          <w:tcPr>
            <w:tcW w:w="2541" w:type="dxa"/>
            <w:vAlign w:val="center"/>
          </w:tcPr>
          <w:p>
            <w:pPr>
              <w:topLinePunct/>
              <w:autoSpaceDE w:val="0"/>
              <w:adjustRightInd w:val="0"/>
              <w:snapToGrid w:val="0"/>
              <w:jc w:val="left"/>
              <w:rPr>
                <w:rFonts w:ascii="仿宋_GB2312" w:hAnsi="Calibri" w:eastAsia="仿宋_GB2312"/>
                <w:sz w:val="24"/>
                <w:szCs w:val="24"/>
              </w:rPr>
            </w:pPr>
            <w:r>
              <w:rPr>
                <w:rFonts w:hint="eastAsia" w:ascii="仿宋_GB2312" w:hAnsi="Calibri" w:eastAsia="仿宋_GB2312"/>
                <w:sz w:val="24"/>
                <w:szCs w:val="24"/>
              </w:rPr>
              <w:t>区农业农村局、区水利局、区河长办、区效能办</w:t>
            </w:r>
          </w:p>
        </w:tc>
        <w:tc>
          <w:tcPr>
            <w:tcW w:w="1263" w:type="dxa"/>
            <w:vAlign w:val="center"/>
          </w:tcPr>
          <w:p>
            <w:pPr>
              <w:topLinePunct/>
              <w:autoSpaceDE w:val="0"/>
              <w:adjustRightInd w:val="0"/>
              <w:snapToGrid w:val="0"/>
              <w:jc w:val="center"/>
              <w:rPr>
                <w:rFonts w:ascii="仿宋_GB2312" w:hAnsi="Calibri" w:eastAsia="仿宋_GB2312"/>
                <w:sz w:val="24"/>
                <w:szCs w:val="24"/>
              </w:rPr>
            </w:pPr>
            <w:r>
              <w:rPr>
                <w:rFonts w:hint="eastAsia" w:ascii="仿宋_GB2312" w:hAnsi="Calibri" w:eastAsia="仿宋_GB2312"/>
                <w:sz w:val="24"/>
                <w:szCs w:val="24"/>
              </w:rPr>
              <w:t>202</w:t>
            </w:r>
            <w:r>
              <w:rPr>
                <w:rFonts w:hint="eastAsia" w:ascii="仿宋_GB2312" w:eastAsia="仿宋_GB2312"/>
                <w:sz w:val="24"/>
                <w:szCs w:val="24"/>
              </w:rPr>
              <w:t>2</w:t>
            </w:r>
            <w:r>
              <w:rPr>
                <w:rFonts w:hint="eastAsia" w:ascii="仿宋_GB2312" w:hAnsi="Calibri" w:eastAsia="仿宋_GB2312"/>
                <w:sz w:val="24"/>
                <w:szCs w:val="24"/>
              </w:rPr>
              <w:t>年</w:t>
            </w:r>
          </w:p>
        </w:tc>
      </w:tr>
    </w:tbl>
    <w:p>
      <w:pPr>
        <w:rPr>
          <w:rFonts w:ascii="仿宋" w:hAnsi="仿宋" w:eastAsia="仿宋" w:cs="仿宋"/>
          <w:kern w:val="0"/>
          <w:sz w:val="32"/>
          <w:szCs w:val="32"/>
          <w:lang w:bidi="zh-CN"/>
        </w:rPr>
        <w:sectPr>
          <w:pgSz w:w="16838" w:h="11905" w:orient="landscape"/>
          <w:pgMar w:top="1587" w:right="1701" w:bottom="1587" w:left="1417" w:header="851" w:footer="992" w:gutter="0"/>
          <w:pgNumType w:fmt="decimal"/>
          <w:cols w:space="0" w:num="1"/>
          <w:rtlGutter w:val="0"/>
          <w:docGrid w:type="lines" w:linePitch="443" w:charSpace="0"/>
        </w:sectPr>
      </w:pPr>
    </w:p>
    <w:p>
      <w:pPr>
        <w:rPr>
          <w:rFonts w:ascii="仿宋" w:hAnsi="仿宋" w:eastAsia="仿宋" w:cs="仿宋"/>
          <w:kern w:val="0"/>
          <w:sz w:val="32"/>
          <w:szCs w:val="32"/>
          <w:lang w:bidi="zh-CN"/>
        </w:rPr>
      </w:pPr>
    </w:p>
    <w:p>
      <w:pPr>
        <w:rPr>
          <w:rFonts w:ascii="仿宋" w:hAnsi="仿宋" w:eastAsia="仿宋" w:cs="仿宋"/>
          <w:kern w:val="0"/>
          <w:sz w:val="32"/>
          <w:szCs w:val="32"/>
          <w:lang w:bidi="zh-CN"/>
        </w:rPr>
      </w:pPr>
    </w:p>
    <w:p>
      <w:pPr>
        <w:rPr>
          <w:rFonts w:ascii="仿宋" w:hAnsi="仿宋" w:eastAsia="仿宋" w:cs="仿宋"/>
          <w:kern w:val="0"/>
          <w:sz w:val="32"/>
          <w:szCs w:val="32"/>
          <w:lang w:bidi="zh-CN"/>
        </w:rPr>
      </w:pPr>
    </w:p>
    <w:p>
      <w:pPr>
        <w:rPr>
          <w:rFonts w:ascii="仿宋" w:hAnsi="仿宋" w:eastAsia="仿宋" w:cs="仿宋"/>
          <w:kern w:val="0"/>
          <w:sz w:val="32"/>
          <w:szCs w:val="32"/>
          <w:lang w:bidi="zh-CN"/>
        </w:rPr>
      </w:pPr>
    </w:p>
    <w:p>
      <w:pPr>
        <w:rPr>
          <w:rFonts w:ascii="仿宋" w:hAnsi="仿宋" w:eastAsia="仿宋" w:cs="仿宋"/>
          <w:kern w:val="0"/>
          <w:sz w:val="32"/>
          <w:szCs w:val="32"/>
          <w:lang w:bidi="zh-CN"/>
        </w:rPr>
      </w:pPr>
    </w:p>
    <w:p>
      <w:pPr>
        <w:rPr>
          <w:rFonts w:ascii="仿宋" w:hAnsi="仿宋" w:eastAsia="仿宋" w:cs="仿宋"/>
          <w:kern w:val="0"/>
          <w:sz w:val="32"/>
          <w:szCs w:val="32"/>
          <w:lang w:bidi="zh-CN"/>
        </w:rPr>
      </w:pPr>
    </w:p>
    <w:p>
      <w:pPr>
        <w:rPr>
          <w:rFonts w:ascii="仿宋" w:hAnsi="仿宋" w:eastAsia="仿宋" w:cs="仿宋"/>
          <w:kern w:val="0"/>
          <w:sz w:val="32"/>
          <w:szCs w:val="32"/>
          <w:lang w:bidi="zh-CN"/>
        </w:rPr>
      </w:pPr>
    </w:p>
    <w:p>
      <w:pPr>
        <w:rPr>
          <w:rFonts w:ascii="仿宋" w:hAnsi="仿宋" w:eastAsia="仿宋" w:cs="仿宋"/>
          <w:kern w:val="0"/>
          <w:sz w:val="32"/>
          <w:szCs w:val="32"/>
          <w:lang w:bidi="zh-CN"/>
        </w:rPr>
      </w:pPr>
    </w:p>
    <w:p>
      <w:pPr>
        <w:rPr>
          <w:rFonts w:ascii="仿宋" w:hAnsi="仿宋" w:eastAsia="仿宋" w:cs="仿宋"/>
          <w:kern w:val="0"/>
          <w:sz w:val="32"/>
          <w:szCs w:val="32"/>
          <w:lang w:bidi="zh-CN"/>
        </w:rPr>
      </w:pPr>
    </w:p>
    <w:p>
      <w:pPr>
        <w:rPr>
          <w:rFonts w:ascii="仿宋" w:hAnsi="仿宋" w:eastAsia="仿宋" w:cs="仿宋"/>
          <w:kern w:val="0"/>
          <w:sz w:val="32"/>
          <w:szCs w:val="32"/>
          <w:lang w:bidi="zh-CN"/>
        </w:rPr>
      </w:pPr>
    </w:p>
    <w:p>
      <w:pPr>
        <w:rPr>
          <w:rFonts w:ascii="仿宋" w:hAnsi="仿宋" w:eastAsia="仿宋" w:cs="仿宋"/>
          <w:kern w:val="0"/>
          <w:sz w:val="32"/>
          <w:szCs w:val="32"/>
          <w:lang w:bidi="zh-CN"/>
        </w:rPr>
      </w:pPr>
    </w:p>
    <w:p>
      <w:pPr>
        <w:rPr>
          <w:rFonts w:ascii="仿宋" w:hAnsi="仿宋" w:eastAsia="仿宋" w:cs="仿宋"/>
          <w:kern w:val="0"/>
          <w:sz w:val="32"/>
          <w:szCs w:val="32"/>
          <w:lang w:bidi="zh-CN"/>
        </w:rPr>
      </w:pPr>
    </w:p>
    <w:p>
      <w:pPr>
        <w:rPr>
          <w:rFonts w:ascii="仿宋" w:hAnsi="仿宋" w:eastAsia="仿宋" w:cs="仿宋"/>
          <w:kern w:val="0"/>
          <w:sz w:val="32"/>
          <w:szCs w:val="32"/>
          <w:lang w:bidi="zh-CN"/>
        </w:rPr>
      </w:pPr>
    </w:p>
    <w:p>
      <w:pPr>
        <w:rPr>
          <w:rFonts w:ascii="仿宋" w:hAnsi="仿宋" w:eastAsia="仿宋" w:cs="仿宋"/>
          <w:kern w:val="0"/>
          <w:sz w:val="32"/>
          <w:szCs w:val="32"/>
          <w:lang w:bidi="zh-CN"/>
        </w:rPr>
      </w:pPr>
    </w:p>
    <w:p>
      <w:pPr>
        <w:rPr>
          <w:rFonts w:ascii="仿宋" w:hAnsi="仿宋" w:eastAsia="仿宋" w:cs="仿宋"/>
          <w:kern w:val="0"/>
          <w:sz w:val="32"/>
          <w:szCs w:val="32"/>
          <w:lang w:bidi="zh-CN"/>
        </w:rPr>
      </w:pPr>
    </w:p>
    <w:p>
      <w:pPr>
        <w:rPr>
          <w:rFonts w:ascii="仿宋" w:hAnsi="仿宋" w:eastAsia="仿宋" w:cs="仿宋"/>
          <w:kern w:val="0"/>
          <w:sz w:val="32"/>
          <w:szCs w:val="32"/>
          <w:lang w:bidi="zh-CN"/>
        </w:rPr>
      </w:pPr>
    </w:p>
    <w:p>
      <w:pPr>
        <w:rPr>
          <w:rFonts w:ascii="仿宋" w:hAnsi="仿宋" w:eastAsia="仿宋" w:cs="仿宋"/>
          <w:kern w:val="0"/>
          <w:sz w:val="32"/>
          <w:szCs w:val="32"/>
          <w:lang w:bidi="zh-CN"/>
        </w:rPr>
      </w:pPr>
    </w:p>
    <w:p>
      <w:pPr>
        <w:rPr>
          <w:rFonts w:ascii="仿宋" w:hAnsi="仿宋" w:eastAsia="仿宋" w:cs="仿宋"/>
          <w:kern w:val="0"/>
          <w:sz w:val="32"/>
          <w:szCs w:val="32"/>
          <w:lang w:bidi="zh-CN"/>
        </w:rPr>
      </w:pPr>
    </w:p>
    <w:p>
      <w:pPr>
        <w:rPr>
          <w:rFonts w:hint="default" w:ascii="仿宋" w:hAnsi="仿宋" w:eastAsia="仿宋" w:cs="仿宋"/>
          <w:b w:val="0"/>
          <w:bCs w:val="0"/>
          <w:kern w:val="0"/>
          <w:sz w:val="32"/>
          <w:szCs w:val="32"/>
          <w:highlight w:val="none"/>
          <w:lang w:val="en-US" w:eastAsia="zh-CN" w:bidi="zh-CN"/>
        </w:rPr>
      </w:pPr>
    </w:p>
    <w:p>
      <w:pPr>
        <w:rPr>
          <w:rFonts w:hint="default" w:ascii="仿宋" w:hAnsi="仿宋" w:eastAsia="仿宋" w:cs="仿宋"/>
          <w:b w:val="0"/>
          <w:bCs w:val="0"/>
          <w:kern w:val="0"/>
          <w:sz w:val="32"/>
          <w:szCs w:val="32"/>
          <w:highlight w:val="none"/>
          <w:lang w:val="en-US" w:eastAsia="zh-CN" w:bidi="zh-CN"/>
        </w:rPr>
      </w:pPr>
    </w:p>
    <w:p>
      <w:pPr>
        <w:rPr>
          <w:rFonts w:hint="default" w:ascii="仿宋" w:hAnsi="仿宋" w:eastAsia="仿宋" w:cs="仿宋"/>
          <w:b w:val="0"/>
          <w:bCs w:val="0"/>
          <w:kern w:val="0"/>
          <w:sz w:val="32"/>
          <w:szCs w:val="32"/>
          <w:highlight w:val="none"/>
          <w:lang w:val="en-US" w:eastAsia="zh-CN" w:bidi="zh-CN"/>
        </w:rPr>
      </w:pPr>
    </w:p>
    <w:p>
      <w:pPr>
        <w:rPr>
          <w:rFonts w:hint="default" w:ascii="仿宋" w:hAnsi="仿宋" w:eastAsia="仿宋" w:cs="仿宋"/>
          <w:b w:val="0"/>
          <w:bCs w:val="0"/>
          <w:kern w:val="0"/>
          <w:sz w:val="32"/>
          <w:szCs w:val="32"/>
          <w:highlight w:val="none"/>
          <w:lang w:val="en-US" w:eastAsia="zh-CN" w:bidi="zh-CN"/>
        </w:rPr>
      </w:pPr>
    </w:p>
    <w:p>
      <w:pPr>
        <w:rPr>
          <w:rFonts w:hint="default" w:ascii="仿宋" w:hAnsi="仿宋" w:eastAsia="仿宋" w:cs="仿宋"/>
          <w:b w:val="0"/>
          <w:bCs w:val="0"/>
          <w:kern w:val="0"/>
          <w:sz w:val="32"/>
          <w:szCs w:val="32"/>
          <w:highlight w:val="none"/>
          <w:lang w:val="en-US" w:eastAsia="zh-CN" w:bidi="zh-CN"/>
        </w:rPr>
      </w:pPr>
    </w:p>
    <w:p>
      <w:pPr>
        <w:rPr>
          <w:rFonts w:hint="default" w:ascii="仿宋" w:hAnsi="仿宋" w:eastAsia="仿宋" w:cs="仿宋"/>
          <w:b w:val="0"/>
          <w:bCs w:val="0"/>
          <w:kern w:val="0"/>
          <w:sz w:val="32"/>
          <w:szCs w:val="32"/>
          <w:highlight w:val="none"/>
          <w:lang w:val="en-US" w:eastAsia="zh-CN" w:bidi="zh-CN"/>
        </w:rPr>
      </w:pPr>
    </w:p>
    <w:p>
      <w:pPr>
        <w:rPr>
          <w:rFonts w:hint="default" w:ascii="仿宋" w:hAnsi="仿宋" w:eastAsia="仿宋" w:cs="仿宋"/>
          <w:b w:val="0"/>
          <w:bCs w:val="0"/>
          <w:kern w:val="0"/>
          <w:sz w:val="32"/>
          <w:szCs w:val="32"/>
          <w:highlight w:val="none"/>
          <w:lang w:val="en-US" w:eastAsia="zh-CN" w:bidi="zh-CN"/>
        </w:rPr>
      </w:pPr>
    </w:p>
    <w:p>
      <w:pPr>
        <w:rPr>
          <w:rFonts w:hint="default" w:ascii="仿宋" w:hAnsi="仿宋" w:eastAsia="仿宋" w:cs="仿宋"/>
          <w:b w:val="0"/>
          <w:bCs w:val="0"/>
          <w:kern w:val="0"/>
          <w:sz w:val="32"/>
          <w:szCs w:val="32"/>
          <w:highlight w:val="none"/>
          <w:lang w:val="en-US" w:eastAsia="zh-CN" w:bidi="zh-CN"/>
        </w:rPr>
      </w:pPr>
    </w:p>
    <w:p>
      <w:pPr>
        <w:rPr>
          <w:rFonts w:hint="default" w:ascii="仿宋" w:hAnsi="仿宋" w:eastAsia="仿宋" w:cs="仿宋"/>
          <w:b w:val="0"/>
          <w:bCs w:val="0"/>
          <w:kern w:val="0"/>
          <w:sz w:val="32"/>
          <w:szCs w:val="32"/>
          <w:highlight w:val="none"/>
          <w:lang w:val="en-US" w:eastAsia="zh-CN" w:bidi="zh-CN"/>
        </w:rPr>
      </w:pPr>
    </w:p>
    <w:p>
      <w:pPr>
        <w:jc w:val="left"/>
        <w:rPr>
          <w:rFonts w:hint="eastAsia"/>
          <w:lang w:val="en-US" w:eastAsia="zh-CN"/>
        </w:rPr>
      </w:pPr>
    </w:p>
    <w:p>
      <w:pPr>
        <w:widowControl w:val="0"/>
        <w:pBdr>
          <w:top w:val="single" w:color="auto" w:sz="4" w:space="0"/>
        </w:pBdr>
        <w:wordWrap/>
        <w:adjustRightInd/>
        <w:snapToGrid/>
        <w:spacing w:line="480" w:lineRule="exact"/>
        <w:ind w:firstLine="280" w:firstLineChars="1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抄送：区委、区人大常委会、区政协办公室。</w:t>
      </w:r>
    </w:p>
    <w:p>
      <w:pPr>
        <w:widowControl w:val="0"/>
        <w:pBdr>
          <w:top w:val="single" w:color="auto" w:sz="4" w:space="0"/>
          <w:bottom w:val="single" w:color="auto" w:sz="4" w:space="0"/>
        </w:pBdr>
        <w:wordWrap/>
        <w:adjustRightInd/>
        <w:snapToGrid/>
        <w:spacing w:line="480" w:lineRule="exact"/>
        <w:ind w:firstLine="280" w:firstLineChars="100"/>
        <w:jc w:val="left"/>
        <w:textAlignment w:val="auto"/>
        <w:rPr>
          <w:rFonts w:hint="default" w:ascii="仿宋" w:hAnsi="仿宋" w:eastAsia="仿宋" w:cs="仿宋"/>
          <w:b w:val="0"/>
          <w:bCs w:val="0"/>
          <w:kern w:val="0"/>
          <w:sz w:val="32"/>
          <w:szCs w:val="32"/>
          <w:highlight w:val="none"/>
          <w:lang w:val="en-US" w:eastAsia="zh-CN" w:bidi="zh-CN"/>
        </w:rPr>
      </w:pPr>
      <w:r>
        <w:rPr>
          <w:rFonts w:hint="eastAsia" w:ascii="仿宋_GB2312" w:hAnsi="仿宋_GB2312" w:eastAsia="仿宋_GB2312" w:cs="仿宋_GB2312"/>
          <w:sz w:val="28"/>
          <w:szCs w:val="28"/>
          <w:lang w:val="en-US" w:eastAsia="zh-CN"/>
        </w:rPr>
        <w:t>莆田市秀屿区人民政府办公室              2022年5月6日印发</w:t>
      </w:r>
    </w:p>
    <w:sectPr>
      <w:pgSz w:w="11905" w:h="16838"/>
      <w:pgMar w:top="1701" w:right="1587" w:bottom="1417" w:left="1587" w:header="851" w:footer="992" w:gutter="0"/>
      <w:pgNumType w:fmt="decimal"/>
      <w:cols w:space="0" w:num="1"/>
      <w:rtlGutter w:val="0"/>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sz w:val="28"/>
        <w:szCs w:val="28"/>
      </w:rPr>
    </w:pPr>
    <w:r>
      <w:rPr>
        <w:rFonts w:ascii="Times New Roman" w:hAnsi="Times New Roman" w:eastAsia="仿宋_GB2312"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rPr>
                              <w:rFonts w:ascii="宋体" w:hAnsi="宋体" w:eastAsia="宋体" w:cs="宋体"/>
                              <w:color w:val="000000"/>
                              <w:sz w:val="28"/>
                              <w:szCs w:val="28"/>
                            </w:rPr>
                          </w:pPr>
                          <w:r>
                            <w:rPr>
                              <w:rFonts w:ascii="宋体" w:hAnsi="宋体" w:eastAsia="宋体" w:cs="宋体"/>
                              <w:color w:val="000000"/>
                              <w:sz w:val="28"/>
                              <w:szCs w:val="28"/>
                            </w:rPr>
                            <w:t xml:space="preserve">— </w:t>
                          </w: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PAGE  \* MERGEFORMAT </w:instrText>
                          </w:r>
                          <w:r>
                            <w:rPr>
                              <w:rFonts w:ascii="宋体" w:hAnsi="宋体" w:eastAsia="宋体" w:cs="宋体"/>
                              <w:color w:val="000000"/>
                              <w:sz w:val="28"/>
                              <w:szCs w:val="28"/>
                            </w:rPr>
                            <w:fldChar w:fldCharType="separate"/>
                          </w:r>
                          <w:r>
                            <w:rPr>
                              <w:rFonts w:ascii="宋体" w:hAnsi="宋体" w:eastAsia="宋体" w:cs="宋体"/>
                              <w:color w:val="000000"/>
                              <w:sz w:val="28"/>
                              <w:szCs w:val="28"/>
                            </w:rPr>
                            <w:t>- 1 -</w:t>
                          </w:r>
                          <w:r>
                            <w:rPr>
                              <w:rFonts w:ascii="宋体" w:hAnsi="宋体" w:eastAsia="宋体" w:cs="宋体"/>
                              <w:color w:val="000000"/>
                              <w:sz w:val="28"/>
                              <w:szCs w:val="28"/>
                            </w:rPr>
                            <w:fldChar w:fldCharType="end"/>
                          </w:r>
                          <w:r>
                            <w:rPr>
                              <w:rFonts w:ascii="宋体" w:hAnsi="宋体" w:eastAsia="宋体" w:cs="宋体"/>
                              <w:color w:val="000000"/>
                              <w:sz w:val="28"/>
                              <w:szCs w:val="28"/>
                            </w:rPr>
                            <w:t xml:space="preserve"> —</w:t>
                          </w:r>
                        </w:p>
                      </w:txbxContent>
                    </wps:txbx>
                    <wps:bodyPr vert="horz" wrap="none" lIns="0" tIns="0" rIns="0" bIns="0" anchor="t" anchorCtr="0" upright="1">
                      <a:spAutoFit/>
                    </wps:bodyPr>
                  </wps:wsp>
                </a:graphicData>
              </a:graphic>
            </wp:anchor>
          </w:drawing>
        </mc:Choice>
        <mc:Fallback>
          <w:pict>
            <v:rect id="文本框 9"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BNjgqw1wEAALQDAAAOAAAAAAAAAAEAIAAA&#10;AB8BAABkcnMvZTJvRG9jLnhtbFBLBQYAAAAABgAGAFkBAABoBQAAAAA=&#10;">
              <v:fill on="f" focussize="0,0"/>
              <v:stroke on="f"/>
              <v:imagedata o:title=""/>
              <o:lock v:ext="edit" aspectratio="f"/>
              <v:textbox inset="0mm,0mm,0mm,0mm" style="mso-fit-shape-to-text:t;">
                <w:txbxContent>
                  <w:p>
                    <w:pPr>
                      <w:pStyle w:val="7"/>
                      <w:rPr>
                        <w:rFonts w:ascii="宋体" w:hAnsi="宋体" w:eastAsia="宋体" w:cs="宋体"/>
                        <w:color w:val="000000"/>
                        <w:sz w:val="28"/>
                        <w:szCs w:val="28"/>
                      </w:rPr>
                    </w:pPr>
                    <w:r>
                      <w:rPr>
                        <w:rFonts w:ascii="宋体" w:hAnsi="宋体" w:eastAsia="宋体" w:cs="宋体"/>
                        <w:color w:val="000000"/>
                        <w:sz w:val="28"/>
                        <w:szCs w:val="28"/>
                      </w:rPr>
                      <w:t xml:space="preserve">— </w:t>
                    </w:r>
                    <w:r>
                      <w:rPr>
                        <w:rFonts w:ascii="宋体" w:hAnsi="宋体" w:eastAsia="宋体" w:cs="宋体"/>
                        <w:color w:val="000000"/>
                        <w:sz w:val="28"/>
                        <w:szCs w:val="28"/>
                      </w:rPr>
                      <w:fldChar w:fldCharType="begin"/>
                    </w:r>
                    <w:r>
                      <w:rPr>
                        <w:rFonts w:ascii="宋体" w:hAnsi="宋体" w:eastAsia="宋体" w:cs="宋体"/>
                        <w:color w:val="000000"/>
                        <w:sz w:val="28"/>
                        <w:szCs w:val="28"/>
                      </w:rPr>
                      <w:instrText xml:space="preserve"> PAGE  \* MERGEFORMAT </w:instrText>
                    </w:r>
                    <w:r>
                      <w:rPr>
                        <w:rFonts w:ascii="宋体" w:hAnsi="宋体" w:eastAsia="宋体" w:cs="宋体"/>
                        <w:color w:val="000000"/>
                        <w:sz w:val="28"/>
                        <w:szCs w:val="28"/>
                      </w:rPr>
                      <w:fldChar w:fldCharType="separate"/>
                    </w:r>
                    <w:r>
                      <w:rPr>
                        <w:rFonts w:ascii="宋体" w:hAnsi="宋体" w:eastAsia="宋体" w:cs="宋体"/>
                        <w:color w:val="000000"/>
                        <w:sz w:val="28"/>
                        <w:szCs w:val="28"/>
                      </w:rPr>
                      <w:t>- 1 -</w:t>
                    </w:r>
                    <w:r>
                      <w:rPr>
                        <w:rFonts w:ascii="宋体" w:hAnsi="宋体" w:eastAsia="宋体" w:cs="宋体"/>
                        <w:color w:val="000000"/>
                        <w:sz w:val="28"/>
                        <w:szCs w:val="28"/>
                      </w:rPr>
                      <w:fldChar w:fldCharType="end"/>
                    </w:r>
                    <w:r>
                      <w:rPr>
                        <w:rFonts w:ascii="宋体" w:hAnsi="宋体" w:eastAsia="宋体" w:cs="宋体"/>
                        <w:color w:val="000000"/>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uppressAutoHyphens/>
      <w:wordWrap w:val="0"/>
      <w:snapToGrid w:val="0"/>
      <w:jc w:val="center"/>
      <w:rPr>
        <w:rFonts w:ascii="宋体"/>
        <w:sz w:val="28"/>
        <w:szCs w:val="28"/>
      </w:rPr>
    </w:pPr>
    <w:r>
      <w:rPr>
        <w:rFonts w:ascii="Calibri" w:hAnsi="Calibri" w:eastAsia="仿宋" w:cs="Arial"/>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237855" cy="285115"/>
              <wp:effectExtent l="0" t="0" r="0" b="0"/>
              <wp:wrapNone/>
              <wp:docPr id="3" name="矩形 4"/>
              <wp:cNvGraphicFramePr/>
              <a:graphic xmlns:a="http://schemas.openxmlformats.org/drawingml/2006/main">
                <a:graphicData uri="http://schemas.microsoft.com/office/word/2010/wordprocessingShape">
                  <wps:wsp>
                    <wps:cNvSpPr/>
                    <wps:spPr>
                      <a:xfrm>
                        <a:off x="0" y="0"/>
                        <a:ext cx="8237855" cy="285115"/>
                      </a:xfrm>
                      <a:prstGeom prst="rect">
                        <a:avLst/>
                      </a:prstGeom>
                      <a:noFill/>
                      <a:ln>
                        <a:noFill/>
                      </a:ln>
                    </wps:spPr>
                    <wps:txbx>
                      <w:txbxContent>
                        <w:p>
                          <w:pPr>
                            <w:tabs>
                              <w:tab w:val="center" w:pos="4153"/>
                              <w:tab w:val="right" w:pos="8306"/>
                            </w:tabs>
                            <w:suppressAutoHyphens/>
                            <w:wordWrap w:val="0"/>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lIns="0" tIns="0" rIns="0" bIns="0" upright="1"/>
                  </wps:wsp>
                </a:graphicData>
              </a:graphic>
            </wp:anchor>
          </w:drawing>
        </mc:Choice>
        <mc:Fallback>
          <w:pict>
            <v:rect id="矩形 4" o:spid="_x0000_s1026" o:spt="1" style="position:absolute;left:0pt;margin-top:0pt;height:22.45pt;width:648.65pt;mso-position-horizontal:outside;mso-position-horizontal-relative:margin;z-index:251660288;mso-width-relative:page;mso-height-relative:page;" filled="f" stroked="f" coordsize="21600,21600" o:gfxdata="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rBSp&#10;ltcAAAAFAQAADwAAAAAAAAABACAAAAAiAAAAZHJzL2Rvd25yZXYueG1sUEsBAhQAFAAAAAgAh07i&#10;QP1hAVCxAQAAZQMAAA4AAAAAAAAAAQAgAAAAJgEAAGRycy9lMm9Eb2MueG1sUEsFBgAAAAAGAAYA&#10;WQEAAEkFAAAAAA==&#10;">
              <v:fill on="f" focussize="0,0"/>
              <v:stroke on="f"/>
              <v:imagedata o:title=""/>
              <o:lock v:ext="edit" aspectratio="f"/>
              <v:textbox inset="0mm,0mm,0mm,0mm">
                <w:txbxContent>
                  <w:p>
                    <w:pPr>
                      <w:tabs>
                        <w:tab w:val="center" w:pos="4153"/>
                        <w:tab w:val="right" w:pos="8306"/>
                      </w:tabs>
                      <w:suppressAutoHyphens/>
                      <w:wordWrap w:val="0"/>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jc w:val="center"/>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Page</w:instrText>
    </w:r>
    <w:r>
      <w:rPr>
        <w:rFonts w:hint="eastAsia" w:ascii="宋体" w:hAnsi="宋体"/>
        <w:sz w:val="28"/>
        <w:szCs w:val="28"/>
      </w:rPr>
      <w:fldChar w:fldCharType="separate"/>
    </w:r>
    <w:r>
      <w:rPr>
        <w:rFonts w:hint="eastAsia" w:ascii="宋体" w:hAnsi="宋体"/>
        <w:sz w:val="28"/>
        <w:szCs w:val="28"/>
      </w:rPr>
      <w:t>- 18 -</w:t>
    </w:r>
    <w:r>
      <w:rPr>
        <w:rFonts w:hint="eastAsia"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uppressAutoHyphens/>
      <w:wordWrap w:val="0"/>
      <w:snapToGrid w:val="0"/>
      <w:jc w:val="center"/>
      <w:rPr>
        <w:rFonts w:ascii="宋体"/>
        <w:sz w:val="28"/>
        <w:szCs w:val="28"/>
      </w:rPr>
    </w:pPr>
    <w:r>
      <w:rPr>
        <w:rFonts w:ascii="Calibri" w:hAnsi="Calibri" w:eastAsia="仿宋" w:cs="Arial"/>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237855" cy="285115"/>
              <wp:effectExtent l="0" t="0" r="0" b="0"/>
              <wp:wrapNone/>
              <wp:docPr id="2" name="矩形 2"/>
              <wp:cNvGraphicFramePr/>
              <a:graphic xmlns:a="http://schemas.openxmlformats.org/drawingml/2006/main">
                <a:graphicData uri="http://schemas.microsoft.com/office/word/2010/wordprocessingShape">
                  <wps:wsp>
                    <wps:cNvSpPr/>
                    <wps:spPr>
                      <a:xfrm>
                        <a:off x="0" y="0"/>
                        <a:ext cx="8237855" cy="285115"/>
                      </a:xfrm>
                      <a:prstGeom prst="rect">
                        <a:avLst/>
                      </a:prstGeom>
                      <a:noFill/>
                      <a:ln>
                        <a:noFill/>
                      </a:ln>
                    </wps:spPr>
                    <wps:txbx>
                      <w:txbxContent>
                        <w:p>
                          <w:pPr>
                            <w:tabs>
                              <w:tab w:val="center" w:pos="4153"/>
                              <w:tab w:val="right" w:pos="8306"/>
                            </w:tabs>
                            <w:suppressAutoHyphens/>
                            <w:wordWrap w:val="0"/>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lIns="0" tIns="0" rIns="0" bIns="0" anchor="t" anchorCtr="0" upright="1"/>
                  </wps:wsp>
                </a:graphicData>
              </a:graphic>
            </wp:anchor>
          </w:drawing>
        </mc:Choice>
        <mc:Fallback>
          <w:pict>
            <v:rect id="_x0000_s1026" o:spid="_x0000_s1026" o:spt="1" style="position:absolute;left:0pt;margin-top:0pt;height:22.45pt;width:648.65pt;mso-position-horizontal:outside;mso-position-horizontal-relative:margin;z-index:251660288;mso-width-relative:page;mso-height-relative:page;" filled="f" stroked="f" coordsize="21600,21600" o:gfxdata="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sFKmW1wAAAAUBAAAPAAAAAAAAAAEAIAAAACIAAABkcnMvZG93bnJl&#10;di54bWxQSwECFAAUAAAACACHTuJAQ19U4MUBAACKAwAADgAAAAAAAAABACAAAAAmAQAAZHJzL2Uy&#10;b0RvYy54bWxQSwUGAAAAAAYABgBZAQAAXQUAAAAA&#10;">
              <v:fill on="f" focussize="0,0"/>
              <v:stroke on="f"/>
              <v:imagedata o:title=""/>
              <o:lock v:ext="edit" aspectratio="f"/>
              <v:textbox inset="0mm,0mm,0mm,0mm">
                <w:txbxContent>
                  <w:p>
                    <w:pPr>
                      <w:tabs>
                        <w:tab w:val="center" w:pos="4153"/>
                        <w:tab w:val="right" w:pos="8306"/>
                      </w:tabs>
                      <w:suppressAutoHyphens/>
                      <w:wordWrap w:val="0"/>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52138"/>
    <w:multiLevelType w:val="singleLevel"/>
    <w:tmpl w:val="62452138"/>
    <w:lvl w:ilvl="0" w:tentative="0">
      <w:start w:val="1"/>
      <w:numFmt w:val="chineseCounting"/>
      <w:suff w:val="nothing"/>
      <w:lvlText w:val="%1、"/>
      <w:lvlJc w:val="left"/>
    </w:lvl>
  </w:abstractNum>
  <w:abstractNum w:abstractNumId="1">
    <w:nsid w:val="624553BB"/>
    <w:multiLevelType w:val="singleLevel"/>
    <w:tmpl w:val="624553BB"/>
    <w:lvl w:ilvl="0" w:tentative="0">
      <w:start w:val="3"/>
      <w:numFmt w:val="chineseCounting"/>
      <w:suff w:val="nothing"/>
      <w:lvlText w:val="%1、"/>
      <w:lvlJc w:val="left"/>
    </w:lvl>
  </w:abstractNum>
  <w:abstractNum w:abstractNumId="2">
    <w:nsid w:val="6247A96D"/>
    <w:multiLevelType w:val="singleLevel"/>
    <w:tmpl w:val="6247A96D"/>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10"/>
  <w:drawingGridVerticalSpacing w:val="221"/>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zZGIzYzk2OWI5Yjc1MDdlNTNiMGNhM2FmOWUyZGMifQ=="/>
  </w:docVars>
  <w:rsids>
    <w:rsidRoot w:val="00000000"/>
    <w:rsid w:val="3C3F5288"/>
    <w:rsid w:val="4953791E"/>
    <w:rsid w:val="4B342BF3"/>
    <w:rsid w:val="4C20223D"/>
    <w:rsid w:val="708C516B"/>
    <w:rsid w:val="7BBE32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snapToGrid w:val="0"/>
      <w:ind w:firstLine="0" w:firstLineChars="0"/>
      <w:outlineLvl w:val="1"/>
    </w:pPr>
    <w:rPr>
      <w:rFonts w:eastAsia="宋体" w:cs="Times New Roman"/>
      <w:b/>
      <w:bCs/>
      <w:sz w:val="24"/>
      <w:szCs w:val="32"/>
    </w:rPr>
  </w:style>
  <w:style w:type="character" w:default="1" w:styleId="11">
    <w:name w:val="Default Paragraph Font"/>
    <w:semiHidden/>
    <w:qForma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widowControl/>
      <w:wordWrap w:val="0"/>
      <w:spacing w:before="0" w:after="0" w:line="240" w:lineRule="auto"/>
      <w:ind w:left="3400" w:firstLine="0"/>
      <w:jc w:val="both"/>
    </w:pPr>
    <w:rPr>
      <w:rFonts w:ascii="Times New Roman" w:hAnsi="Times New Roman" w:eastAsia="宋体" w:cs="Times New Roman"/>
      <w:sz w:val="21"/>
      <w:szCs w:val="22"/>
    </w:rPr>
  </w:style>
  <w:style w:type="paragraph" w:styleId="4">
    <w:name w:val="index 6"/>
    <w:basedOn w:val="1"/>
    <w:next w:val="1"/>
    <w:qFormat/>
    <w:uiPriority w:val="0"/>
    <w:pPr>
      <w:ind w:left="2100"/>
    </w:pPr>
  </w:style>
  <w:style w:type="paragraph" w:styleId="5">
    <w:name w:val="Body Text Indent"/>
    <w:basedOn w:val="1"/>
    <w:next w:val="1"/>
    <w:qFormat/>
    <w:uiPriority w:val="0"/>
    <w:pPr>
      <w:ind w:firstLine="640" w:firstLineChars="200"/>
    </w:pPr>
    <w:rPr>
      <w:rFonts w:ascii="黑体" w:eastAsia="黑体"/>
      <w:sz w:val="32"/>
    </w:rPr>
  </w:style>
  <w:style w:type="paragraph" w:styleId="6">
    <w:name w:val="Balloon Text"/>
    <w:basedOn w:val="1"/>
    <w:next w:val="3"/>
    <w:qFormat/>
    <w:uiPriority w:val="0"/>
    <w:rPr>
      <w:sz w:val="18"/>
      <w:szCs w:val="18"/>
    </w:rPr>
  </w:style>
  <w:style w:type="paragraph" w:styleId="7">
    <w:name w:val="footer"/>
    <w:basedOn w:val="1"/>
    <w:qFormat/>
    <w:uiPriority w:val="0"/>
    <w:pPr>
      <w:widowControl w:val="0"/>
      <w:tabs>
        <w:tab w:val="center" w:pos="4153"/>
        <w:tab w:val="right" w:pos="8306"/>
      </w:tabs>
      <w:snapToGrid w:val="0"/>
    </w:pPr>
    <w:rPr>
      <w:rFonts w:ascii="Times New Roman" w:hAnsi="Times New Roman" w:eastAsia="仿宋_GB2312" w:cs="Times New Roman"/>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next w:val="4"/>
    <w:qFormat/>
    <w:uiPriority w:val="0"/>
    <w:pPr>
      <w:ind w:firstLine="200" w:firstLineChars="200"/>
    </w:pPr>
  </w:style>
  <w:style w:type="character" w:styleId="12">
    <w:name w:val="page number"/>
    <w:basedOn w:val="11"/>
    <w:qFormat/>
    <w:uiPriority w:val="0"/>
  </w:style>
  <w:style w:type="paragraph" w:customStyle="1" w:styleId="13">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4">
    <w:name w:val="金皇-封面-报批/送审稿"/>
    <w:basedOn w:val="1"/>
    <w:qFormat/>
    <w:uiPriority w:val="0"/>
    <w:pPr>
      <w:spacing w:before="60" w:after="60"/>
      <w:jc w:val="center"/>
    </w:pPr>
    <w:rPr>
      <w:rFonts w:ascii="黑体" w:hAnsi="Cambria" w:eastAsia="黑体" w:cs="Arial"/>
      <w:b/>
      <w:bCs/>
      <w:sz w:val="36"/>
      <w:szCs w:val="36"/>
    </w:rPr>
  </w:style>
  <w:style w:type="paragraph" w:customStyle="1" w:styleId="15">
    <w:name w:val="二级标题"/>
    <w:basedOn w:val="1"/>
    <w:qFormat/>
    <w:uiPriority w:val="0"/>
    <w:pPr>
      <w:adjustRightInd w:val="0"/>
      <w:snapToGrid w:val="0"/>
      <w:spacing w:before="280" w:after="240"/>
      <w:ind w:left="1332" w:hanging="635"/>
      <w:jc w:val="left"/>
      <w:outlineLvl w:val="1"/>
    </w:pPr>
    <w:rPr>
      <w:rFonts w:hint="eastAsia" w:ascii="黑体" w:hAnsi="黑体" w:eastAsia="黑体" w:cs="黑体"/>
      <w:b/>
      <w:bCs/>
      <w:sz w:val="30"/>
      <w:szCs w:val="28"/>
    </w:rPr>
  </w:style>
  <w:style w:type="paragraph" w:customStyle="1" w:styleId="16">
    <w:name w:val="·正文"/>
    <w:basedOn w:val="1"/>
    <w:qFormat/>
    <w:uiPriority w:val="0"/>
    <w:pPr>
      <w:spacing w:line="418" w:lineRule="auto"/>
      <w:ind w:left="136" w:right="317" w:firstLine="561"/>
    </w:pPr>
    <w:rPr>
      <w:rFonts w:ascii="Times New Roman" w:hAnsi="Times New Roman" w:eastAsia="仿宋"/>
      <w:kern w:val="0"/>
      <w:sz w:val="28"/>
      <w:szCs w:val="28"/>
      <w:lang w:bidi="zh-CN"/>
    </w:rPr>
  </w:style>
  <w:style w:type="paragraph" w:customStyle="1" w:styleId="17">
    <w:name w:val="Table Paragraph"/>
    <w:basedOn w:val="1"/>
    <w:qFormat/>
    <w:uiPriority w:val="1"/>
    <w:rPr>
      <w:rFonts w:ascii="仿宋" w:hAnsi="仿宋" w:eastAsia="仿宋" w:cs="仿宋"/>
      <w:lang w:val="zh-CN" w:eastAsia="zh-CN" w:bidi="zh-CN"/>
    </w:rPr>
  </w:style>
  <w:style w:type="paragraph" w:customStyle="1" w:styleId="18">
    <w:name w:val="Body text|1"/>
    <w:basedOn w:val="1"/>
    <w:qFormat/>
    <w:uiPriority w:val="0"/>
    <w:pPr>
      <w:widowControl w:val="0"/>
      <w:shd w:val="clear" w:color="auto" w:fill="auto"/>
      <w:spacing w:line="403" w:lineRule="auto"/>
      <w:ind w:firstLine="400"/>
    </w:pPr>
    <w:rPr>
      <w:rFonts w:ascii="宋体" w:hAnsi="宋体" w:eastAsia="宋体" w:cs="宋体"/>
      <w:sz w:val="32"/>
      <w:szCs w:val="32"/>
      <w:u w:val="none"/>
      <w:shd w:val="clear" w:color="auto" w:fill="auto"/>
      <w:lang w:val="zh-TW" w:eastAsia="zh-TW" w:bidi="zh-TW"/>
    </w:rPr>
  </w:style>
  <w:style w:type="character" w:customStyle="1" w:styleId="19">
    <w:name w:val="font21"/>
    <w:basedOn w:val="11"/>
    <w:qFormat/>
    <w:uiPriority w:val="0"/>
    <w:rPr>
      <w:rFonts w:hint="eastAsia" w:ascii="宋体" w:hAnsi="宋体" w:eastAsia="宋体" w:cs="宋体"/>
      <w:color w:val="000000"/>
      <w:sz w:val="20"/>
      <w:szCs w:val="20"/>
      <w:u w:val="none"/>
    </w:rPr>
  </w:style>
  <w:style w:type="character" w:customStyle="1" w:styleId="20">
    <w:name w:val="font11"/>
    <w:basedOn w:val="11"/>
    <w:qFormat/>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12620</Words>
  <Characters>13027</Characters>
  <Lines>0</Lines>
  <Paragraphs>0</Paragraphs>
  <TotalTime>53</TotalTime>
  <ScaleCrop>false</ScaleCrop>
  <LinksUpToDate>false</LinksUpToDate>
  <CharactersWithSpaces>13238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2022-02-12T13:56:00Z</dcterms:created>
  <dc:creator>Cameron</dc:creator>
  <cp:lastModifiedBy>☜</cp:lastModifiedBy>
  <cp:lastPrinted>2022-05-07T06:54:04Z</cp:lastPrinted>
  <dcterms:modified xsi:type="dcterms:W3CDTF">2022-05-07T07:27:00Z</dcterms:modified>
  <dc:title>秀屿区农村生活污水提升治理实施方案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04B1ECA4160B440EB78E829E0DBC0CA0</vt:lpwstr>
  </property>
</Properties>
</file>