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3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莆田市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秀屿区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工业和信息化局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  <w:lang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莆田市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秀屿区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发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展和改革局</w:t>
            </w:r>
          </w:p>
        </w:tc>
        <w:tc>
          <w:tcPr>
            <w:tcW w:w="14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kern w:val="2"/>
                <w:sz w:val="100"/>
                <w:szCs w:val="100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莆田市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秀屿区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交通运输局</w:t>
            </w:r>
          </w:p>
        </w:tc>
        <w:tc>
          <w:tcPr>
            <w:tcW w:w="14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kern w:val="2"/>
                <w:sz w:val="100"/>
                <w:szCs w:val="100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莆田市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秀屿区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  <w:t>卫生健康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局</w:t>
            </w:r>
          </w:p>
        </w:tc>
        <w:tc>
          <w:tcPr>
            <w:tcW w:w="14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jc w:val="distribute"/>
              <w:textAlignment w:val="auto"/>
              <w:rPr>
                <w:rFonts w:hint="default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莆田市公安局秀屿分局</w:t>
            </w:r>
          </w:p>
        </w:tc>
        <w:tc>
          <w:tcPr>
            <w:tcW w:w="14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lang w:val="en-US" w:eastAsia="zh-CN"/>
              </w:rPr>
              <w:t>莆田市秀屿区应急管理局</w:t>
            </w:r>
          </w:p>
        </w:tc>
        <w:tc>
          <w:tcPr>
            <w:tcW w:w="14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00" w:lineRule="exact"/>
              <w:ind w:firstLine="0" w:firstLineChars="0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60"/>
                <w:sz w:val="100"/>
                <w:szCs w:val="100"/>
                <w:vertAlign w:val="baseline"/>
              </w:rPr>
            </w:pPr>
          </w:p>
        </w:tc>
      </w:tr>
    </w:tbl>
    <w:p>
      <w:pPr>
        <w:spacing w:line="520" w:lineRule="exact"/>
        <w:ind w:left="0" w:leftChars="0" w:firstLine="0" w:firstLineChars="0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</w:t>
      </w:r>
    </w:p>
    <w:p>
      <w:pPr>
        <w:pStyle w:val="8"/>
        <w:jc w:val="both"/>
        <w:rPr>
          <w:szCs w:val="32"/>
        </w:rPr>
      </w:pPr>
    </w:p>
    <w:p>
      <w:pPr>
        <w:ind w:left="0" w:leftChars="0" w:firstLine="0" w:firstLineChars="0"/>
        <w:jc w:val="center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莆秀</w:t>
      </w:r>
      <w:r>
        <w:rPr>
          <w:rFonts w:hint="eastAsia"/>
          <w:szCs w:val="32"/>
          <w:lang w:val="en-US" w:eastAsia="zh-CN"/>
        </w:rPr>
        <w:t>工信</w:t>
      </w:r>
      <w:r>
        <w:rPr>
          <w:rFonts w:hint="eastAsia"/>
          <w:szCs w:val="32"/>
          <w:lang w:eastAsia="zh-CN"/>
        </w:rPr>
        <w:t>〔</w:t>
      </w:r>
      <w:r>
        <w:rPr>
          <w:rFonts w:hint="eastAsia"/>
          <w:szCs w:val="32"/>
          <w:lang w:val="en-US" w:eastAsia="zh-CN"/>
        </w:rPr>
        <w:t>2022</w:t>
      </w:r>
      <w:r>
        <w:rPr>
          <w:rFonts w:hint="eastAsia"/>
          <w:szCs w:val="32"/>
          <w:lang w:eastAsia="zh-CN"/>
        </w:rPr>
        <w:t>〕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  <w:lang w:eastAsia="zh-CN"/>
        </w:rPr>
        <w:t>号</w:t>
      </w:r>
    </w:p>
    <w:p>
      <w:pPr>
        <w:ind w:left="0" w:leftChars="0" w:firstLine="0" w:firstLineChars="0"/>
        <w:rPr>
          <w:rFonts w:hint="eastAsia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41910</wp:posOffset>
                </wp:positionV>
                <wp:extent cx="5615940" cy="10160"/>
                <wp:effectExtent l="0" t="15875" r="3810" b="311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8855" y="7327900"/>
                          <a:ext cx="5615940" cy="1016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pt;margin-top:3.3pt;height:0.8pt;width:442.2pt;z-index:251659264;mso-width-relative:page;mso-height-relative:page;" filled="f" stroked="t" coordsize="21600,21600" o:gfxdata="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s7LTNgAAAAFAQAADwAAAAAAAAABACAAAAAiAAAAZHJzL2Rvd25yZXYueG1s&#10;UEsBAhQAFAAAAAgAh07iQP5jviP4AQAAwQMAAA4AAAAAAAAAAQAgAAAAJwEAAGRycy9lMm9Eb2Mu&#10;eG1sUEsFBgAAAAAGAAYAWQEAAJEFAAAAAA==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</w:pPr>
      <w:r>
        <w:rPr>
          <w:rFonts w:hint="eastAsia"/>
        </w:rPr>
        <w:t>关于全力做好202</w:t>
      </w:r>
      <w:r>
        <w:t>2</w:t>
      </w:r>
      <w:r>
        <w:rPr>
          <w:rFonts w:hint="eastAsia"/>
        </w:rPr>
        <w:t>年春运工作和加强</w:t>
      </w:r>
    </w:p>
    <w:p>
      <w:pPr>
        <w:pStyle w:val="8"/>
      </w:pPr>
      <w:r>
        <w:rPr>
          <w:rFonts w:hint="eastAsia"/>
        </w:rPr>
        <w:t>春运疫情防控的通知</w:t>
      </w:r>
    </w:p>
    <w:p>
      <w:pPr>
        <w:ind w:firstLine="640"/>
        <w:rPr>
          <w:rFonts w:ascii="仿宋" w:hAnsi="仿宋" w:eastAsia="仿宋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outlineLvl w:val="9"/>
        <w:rPr>
          <w:rFonts w:hint="eastAsia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镇人民政府、工业园区管委会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区</w:t>
      </w:r>
      <w:r>
        <w:rPr>
          <w:rFonts w:hint="eastAsia"/>
        </w:rPr>
        <w:t>直有关部门</w:t>
      </w:r>
      <w:r>
        <w:rPr>
          <w:rFonts w:hint="eastAsia"/>
          <w:spacing w:val="-4"/>
        </w:rPr>
        <w:t>：</w:t>
      </w:r>
    </w:p>
    <w:p>
      <w:pPr>
        <w:ind w:firstLine="640"/>
      </w:pPr>
      <w:r>
        <w:rPr>
          <w:rFonts w:hint="eastAsia"/>
        </w:rPr>
        <w:t>根据国家和省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春运办统一部署，2022年春运从1月17日开始至2月25日结束，共计40天。按照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春运办《关于全力做好2022年春运工作</w:t>
      </w:r>
      <w:r>
        <w:rPr>
          <w:rFonts w:hint="eastAsia"/>
          <w:lang w:val="en-US" w:eastAsia="zh-CN"/>
        </w:rPr>
        <w:t>和加强春运疫情防控</w:t>
      </w:r>
      <w:r>
        <w:rPr>
          <w:rFonts w:hint="eastAsia"/>
        </w:rPr>
        <w:t>的通知》（</w:t>
      </w:r>
      <w:r>
        <w:rPr>
          <w:rFonts w:hint="eastAsia"/>
          <w:lang w:val="en-US" w:eastAsia="zh-CN"/>
        </w:rPr>
        <w:t>莆市工信运行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号），现就做好我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年春运工作和加强春运疫情防控有关事项通知如下：</w:t>
      </w:r>
    </w:p>
    <w:p>
      <w:pPr>
        <w:pStyle w:val="9"/>
        <w:ind w:firstLine="640"/>
      </w:pPr>
      <w:r>
        <w:rPr>
          <w:rFonts w:hint="eastAsia"/>
        </w:rPr>
        <w:t>一、加强组织领导，统筹做好春运期间各项工作</w:t>
      </w:r>
    </w:p>
    <w:p>
      <w:pPr>
        <w:ind w:firstLine="640"/>
      </w:pPr>
      <w:r>
        <w:rPr>
          <w:rFonts w:hint="eastAsia" w:ascii="仿宋_GB2312" w:hAnsi="仿宋"/>
          <w:lang w:val="en-US" w:eastAsia="zh-CN"/>
        </w:rPr>
        <w:t>各镇人民政府、工业园区</w:t>
      </w:r>
      <w:r>
        <w:rPr>
          <w:rFonts w:hint="eastAsia" w:hAnsi="仿宋"/>
          <w:lang w:val="en-US" w:eastAsia="zh-CN"/>
        </w:rPr>
        <w:t>和区直</w:t>
      </w:r>
      <w:r>
        <w:rPr>
          <w:rFonts w:hint="eastAsia"/>
        </w:rPr>
        <w:t>各有关部门要以习近平新时代中国特色社会主义思想为指导，按照党中央、国务院和省委省政府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市委市政府、区委区政府</w:t>
      </w:r>
      <w:r>
        <w:rPr>
          <w:rFonts w:hint="eastAsia"/>
        </w:rPr>
        <w:t>决策部署，坚持以人民为中心，聚焦“稳字当头、稳中求进”总基调，以更高标准、更严要求和更实措施，统筹做好春运工作和疫情防控各项工作，努力保障人民群众平安有序出行</w:t>
      </w:r>
      <w:r>
        <w:rPr>
          <w:rFonts w:hint="eastAsia" w:hAnsi="仿宋_GB2312" w:cs="仿宋_GB2312"/>
          <w:szCs w:val="32"/>
        </w:rPr>
        <w:t>。要</w:t>
      </w:r>
      <w:r>
        <w:rPr>
          <w:rFonts w:hint="eastAsia"/>
        </w:rPr>
        <w:t>进一步增强做好春运工作的责任感和紧迫感，结合各部门职责精心组织，全力做好2</w:t>
      </w:r>
      <w:r>
        <w:t>022</w:t>
      </w:r>
      <w:r>
        <w:rPr>
          <w:rFonts w:hint="eastAsia"/>
        </w:rPr>
        <w:t>年春运工作。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政府决定成立20</w:t>
      </w:r>
      <w:r>
        <w:t>22</w:t>
      </w:r>
      <w:r>
        <w:rPr>
          <w:rFonts w:hint="eastAsia"/>
        </w:rPr>
        <w:t>年全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春运工作领导小组，由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政府</w:t>
      </w:r>
      <w:r>
        <w:rPr>
          <w:rFonts w:hint="eastAsia"/>
          <w:lang w:val="en-US" w:eastAsia="zh-CN"/>
        </w:rPr>
        <w:t>刘基棠</w:t>
      </w:r>
      <w:r>
        <w:rPr>
          <w:rFonts w:hint="eastAsia"/>
        </w:rPr>
        <w:t>常务副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长担任组长，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工信局、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发改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卫健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交通运输局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区应急局分管领导</w:t>
      </w:r>
      <w:r>
        <w:rPr>
          <w:rFonts w:hint="eastAsia"/>
        </w:rPr>
        <w:t>任副组长，小组成员包括各有关单位负责人（</w:t>
      </w:r>
      <w:r>
        <w:rPr>
          <w:rFonts w:hint="eastAsia"/>
          <w:lang w:val="en-US" w:eastAsia="zh-CN"/>
        </w:rPr>
        <w:t>小组成员名单详见附件</w:t>
      </w:r>
      <w:r>
        <w:rPr>
          <w:rFonts w:hint="eastAsia"/>
        </w:rPr>
        <w:t>）。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春运办设在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工信局，负责做好全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春运日常综合协调工作。</w:t>
      </w:r>
      <w:r>
        <w:rPr>
          <w:rFonts w:hint="eastAsia" w:ascii="仿宋_GB2312" w:hAnsi="仿宋"/>
          <w:lang w:val="en-US" w:eastAsia="zh-CN"/>
        </w:rPr>
        <w:t>各镇人民政府、工业园区</w:t>
      </w:r>
      <w:r>
        <w:rPr>
          <w:rFonts w:hint="eastAsia" w:hAnsi="仿宋"/>
          <w:lang w:val="en-US" w:eastAsia="zh-CN"/>
        </w:rPr>
        <w:t>和区直</w:t>
      </w:r>
      <w:r>
        <w:rPr>
          <w:rFonts w:hint="eastAsia"/>
        </w:rPr>
        <w:t>各有关部门要抓紧成立和配强春运工作领导小组，在本地区疫情防控领导机构的统一部署下，全面负责本地区春运保障和疫情防控工作，尽快组织制定工作方案，层层压实工作责任，及时组织处理突发事件，确保圆满完成202</w:t>
      </w:r>
      <w:r>
        <w:t>2</w:t>
      </w:r>
      <w:r>
        <w:rPr>
          <w:rFonts w:hint="eastAsia"/>
        </w:rPr>
        <w:t>年春运各项工作任务。</w:t>
      </w:r>
    </w:p>
    <w:p>
      <w:pPr>
        <w:pStyle w:val="9"/>
        <w:ind w:firstLine="640"/>
      </w:pPr>
      <w:r>
        <w:rPr>
          <w:rFonts w:hint="eastAsia"/>
        </w:rPr>
        <w:t>二、精准科学研判，毫不放松做好春运疫情防控</w:t>
      </w:r>
    </w:p>
    <w:p>
      <w:pPr>
        <w:ind w:firstLine="640"/>
      </w:pPr>
      <w:r>
        <w:rPr>
          <w:rFonts w:hint="eastAsia" w:hAnsi="仿宋_GB2312" w:cs="仿宋_GB2312"/>
          <w:szCs w:val="32"/>
        </w:rPr>
        <w:t>今年春运面临疫情防控和保障有序出行双重压力，</w:t>
      </w:r>
      <w:r>
        <w:rPr>
          <w:rFonts w:hint="eastAsia" w:ascii="仿宋_GB2312" w:hAnsi="仿宋"/>
          <w:lang w:val="en-US" w:eastAsia="zh-CN"/>
        </w:rPr>
        <w:t>各镇人民政府、工业园区</w:t>
      </w:r>
      <w:r>
        <w:rPr>
          <w:rFonts w:hint="eastAsia" w:hAnsi="仿宋"/>
          <w:lang w:val="en-US" w:eastAsia="zh-CN"/>
        </w:rPr>
        <w:t>和区直</w:t>
      </w:r>
      <w:r>
        <w:rPr>
          <w:rFonts w:hint="eastAsia"/>
        </w:rPr>
        <w:t>各有关部门</w:t>
      </w:r>
      <w:r>
        <w:rPr>
          <w:rFonts w:hint="eastAsia" w:hAnsi="仿宋_GB2312" w:cs="仿宋_GB2312"/>
          <w:szCs w:val="32"/>
        </w:rPr>
        <w:t>要</w:t>
      </w:r>
      <w:r>
        <w:rPr>
          <w:rFonts w:hint="eastAsia"/>
        </w:rPr>
        <w:t>把疫情防控放在重要位置，坚持常态化精准防控和局部应急处置有机结合，</w:t>
      </w:r>
      <w:r>
        <w:rPr>
          <w:rFonts w:hint="eastAsia" w:hAnsi="仿宋_GB2312" w:cs="仿宋_GB2312"/>
          <w:szCs w:val="32"/>
        </w:rPr>
        <w:t>坚决贯彻“外防输入、内防反弹”总策略、“动态清零”总方针，坚持在疫情防控常态化条件下谋划春运举措，根据疫情防控要求，及时调整工作措施和应对策略。按照</w:t>
      </w:r>
      <w:r>
        <w:rPr>
          <w:rFonts w:hint="eastAsia" w:hAnsi="仿宋"/>
        </w:rPr>
        <w:t>减少人员流动、引导错峰出行、降低旅途风险、加强人员防护的原则，组织做好疫情防控和服务保障工作，</w:t>
      </w:r>
      <w:r>
        <w:t>努力实现疫情防控和春运保障</w:t>
      </w:r>
      <w:r>
        <w:rPr>
          <w:rFonts w:hint="eastAsia"/>
        </w:rPr>
        <w:t>“</w:t>
      </w:r>
      <w:r>
        <w:t>双胜利</w:t>
      </w:r>
      <w:r>
        <w:rPr>
          <w:rFonts w:hint="eastAsia"/>
        </w:rPr>
        <w:t>”</w:t>
      </w:r>
      <w:r>
        <w:t>。</w:t>
      </w:r>
    </w:p>
    <w:p>
      <w:pPr>
        <w:ind w:firstLine="643"/>
      </w:pPr>
      <w:r>
        <w:rPr>
          <w:rStyle w:val="10"/>
          <w:rFonts w:hint="eastAsia"/>
        </w:rPr>
        <w:t>（一）加强</w:t>
      </w:r>
      <w:r>
        <w:rPr>
          <w:rStyle w:val="10"/>
          <w:rFonts w:hint="eastAsia" w:eastAsia="楷体_GB2312"/>
          <w:lang w:val="en-US" w:eastAsia="zh-CN"/>
        </w:rPr>
        <w:t>健康监测和人员防护</w:t>
      </w:r>
      <w:r>
        <w:rPr>
          <w:rStyle w:val="10"/>
          <w:rFonts w:hint="eastAsia"/>
        </w:rPr>
        <w:t>。</w:t>
      </w:r>
      <w:r>
        <w:rPr>
          <w:rFonts w:hint="eastAsia"/>
        </w:rPr>
        <w:t>公路、铁路、水运各单位要抓紧抓实抓细常态化客运疫情防控工作，</w:t>
      </w:r>
      <w:r>
        <w:rPr>
          <w:rFonts w:hint="eastAsia" w:hAnsi="仿宋"/>
        </w:rPr>
        <w:t>要做到旅客全员检测体温，要求旅客全程佩戴口罩</w:t>
      </w:r>
      <w:r>
        <w:rPr>
          <w:rFonts w:hint="eastAsia"/>
        </w:rPr>
        <w:t>；要</w:t>
      </w:r>
      <w:r>
        <w:rPr>
          <w:rFonts w:hint="eastAsia" w:hAnsi="仿宋"/>
        </w:rPr>
        <w:t>加强客运一线服务人员个人防护，按规定定期开展核酸检测；加快推进疫苗加强针接种，春运开始前推动具备条件的人员“应接尽接”。</w:t>
      </w:r>
      <w:r>
        <w:rPr>
          <w:rFonts w:hint="eastAsia"/>
        </w:rPr>
        <w:t>各类客运场站和交通运输工具春运期间要增加通风、消毒等措施频次。落实列车、长途客车、重点水域水路客运等交通运输工具的实名购票、对号入座。科学组织售票和加强乘车管理，严格控制列车超员率。</w:t>
      </w:r>
    </w:p>
    <w:p>
      <w:pPr>
        <w:ind w:firstLine="643"/>
      </w:pPr>
      <w:r>
        <w:rPr>
          <w:rStyle w:val="10"/>
          <w:rFonts w:hint="eastAsia"/>
        </w:rPr>
        <w:t>（二）强化春运疫情防控检查指导。</w:t>
      </w:r>
      <w:r>
        <w:rPr>
          <w:rFonts w:hint="eastAsia"/>
        </w:rPr>
        <w:t>春运开始前，公路、铁路、水运各单位要对春运疫情防控工作部署和落实情况进行检查，及时发现和整改各类隐患。卫健部门要加强春运疫情防控指导，及时通报疫情信息，推动公铁水各单位完善防控措施，春运期间指导重要交通枢纽设置隔离区（留验站）。</w:t>
      </w:r>
    </w:p>
    <w:p>
      <w:pPr>
        <w:ind w:firstLine="643"/>
        <w:rPr>
          <w:rFonts w:hAnsi="仿宋"/>
        </w:rPr>
      </w:pPr>
      <w:r>
        <w:rPr>
          <w:rStyle w:val="10"/>
          <w:rFonts w:hint="eastAsia"/>
        </w:rPr>
        <w:t>（四）做好春运疫情防控应急处置。</w:t>
      </w:r>
      <w:r>
        <w:rPr>
          <w:rFonts w:hint="eastAsia" w:hAnsi="仿宋"/>
        </w:rPr>
        <w:t>针对局部突发疫情可能引发的交通管控、检查升级、客流突变、车次停开等情形，提前制定有关应急预案。根据疫情防控需要，及时采取加大消杀力度、降低客座率等更严格防控措施，必要时依法依规按程序报批后减少或暂停客运班线。</w:t>
      </w:r>
    </w:p>
    <w:p>
      <w:pPr>
        <w:pStyle w:val="9"/>
        <w:ind w:firstLine="640"/>
        <w:rPr>
          <w:rFonts w:hint="eastAsia"/>
        </w:rPr>
      </w:pPr>
      <w:r>
        <w:rPr>
          <w:rFonts w:hint="eastAsia"/>
        </w:rPr>
        <w:t>三、加强责任落实，扎实做好春运应急管理</w:t>
      </w:r>
    </w:p>
    <w:p>
      <w:pPr>
        <w:ind w:firstLine="640"/>
      </w:pPr>
      <w:r>
        <w:rPr>
          <w:rFonts w:hint="eastAsia" w:hAnsi="仿宋_GB2312" w:cs="仿宋_GB2312"/>
          <w:color w:val="000000"/>
          <w:szCs w:val="32"/>
        </w:rPr>
        <w:t>要牢固树立安全发展理念，充分认识春运安全工作面临的严峻形势，增强红线意识，切实落实“党政同责、一岗双责”，按照“安全第一、预防为主、综合治理”方针，完善“管行业必须管安全、管业务必须管安全、管生产经营</w:t>
      </w:r>
      <w:r>
        <w:rPr>
          <w:rFonts w:hint="eastAsia"/>
        </w:rPr>
        <w:t>必须管安全”的安全责任体系。全面落实安全生产责任制，压实企业安全生产主体责任和部门安全监管责任。</w:t>
      </w:r>
    </w:p>
    <w:p>
      <w:pPr>
        <w:ind w:firstLine="643"/>
      </w:pPr>
      <w:r>
        <w:rPr>
          <w:rStyle w:val="10"/>
          <w:rFonts w:hint="eastAsia"/>
        </w:rPr>
        <w:t>（一）</w:t>
      </w:r>
      <w:r>
        <w:rPr>
          <w:rStyle w:val="10"/>
          <w:rFonts w:hint="eastAsia" w:eastAsia="楷体_GB2312"/>
          <w:lang w:val="en-US" w:eastAsia="zh-CN"/>
        </w:rPr>
        <w:t>强化隐患排查</w:t>
      </w:r>
      <w:r>
        <w:rPr>
          <w:rStyle w:val="10"/>
          <w:rFonts w:hint="eastAsia"/>
        </w:rPr>
        <w:t>，提升安全保障能力。</w:t>
      </w:r>
      <w:r>
        <w:rPr>
          <w:rFonts w:hint="eastAsia"/>
          <w:szCs w:val="32"/>
        </w:rPr>
        <w:t>要</w:t>
      </w:r>
      <w:r>
        <w:rPr>
          <w:rFonts w:hint="eastAsia"/>
        </w:rPr>
        <w:t>抓紧开展春运隐患排查治理，对重大隐患建立台账，实行挂牌督办，限期整改到位。突出各客运场站及周边宾馆、酒店、临时休息区等重点场所消防安全，联合整治违规用火用电、违规住人、违规存储使用易燃易爆危险品等隐患问题。强化南日岛海域等重点水域和“四类重点船舶”安全监管，严防客运船舶发生事故。督促网约车平台公司强化春运期间运行风险管控。</w:t>
      </w:r>
    </w:p>
    <w:p>
      <w:pPr>
        <w:ind w:firstLine="643"/>
        <w:rPr>
          <w:rFonts w:hint="eastAsia"/>
        </w:rPr>
      </w:pPr>
      <w:r>
        <w:rPr>
          <w:rStyle w:val="10"/>
          <w:rFonts w:hint="eastAsia"/>
        </w:rPr>
        <w:t>（二）突出重点管控，狠抓违法违规行为。</w:t>
      </w:r>
      <w:r>
        <w:rPr>
          <w:rFonts w:hint="eastAsia"/>
        </w:rPr>
        <w:t>全面增强执法力度，增加一线执法力量，加大联合执法协调，利用大数据技术，提前梳理排查非法营运车辆和企业，推动非法营运治理工作向线上线下精准化查控转变。加大车站、渡口等场站周边道路以及高速公路收费站、服务区等重要节点的巡查管控力度，加大对6座及以上客车的路检路查，依法从严查处非法营运、超员载客等违法违规行为。严查严管“两客一危一货”等重点车辆。严格禁止技术状况不达标的车、船投入运营，严厉打击酒驾醉驾、水上非法载客等严重违法行为。各枢纽站点要精准梳理春运期间武警力量保障需求，提供并做好用餐、住宿、用车等后勤保障。</w:t>
      </w:r>
    </w:p>
    <w:p>
      <w:pPr>
        <w:ind w:firstLine="643"/>
      </w:pPr>
      <w:r>
        <w:rPr>
          <w:rStyle w:val="10"/>
        </w:rPr>
        <w:t>（</w:t>
      </w:r>
      <w:r>
        <w:rPr>
          <w:rStyle w:val="10"/>
          <w:rFonts w:hint="eastAsia"/>
        </w:rPr>
        <w:t>三</w:t>
      </w:r>
      <w:r>
        <w:rPr>
          <w:rStyle w:val="10"/>
        </w:rPr>
        <w:t>）</w:t>
      </w:r>
      <w:r>
        <w:rPr>
          <w:rStyle w:val="10"/>
          <w:rFonts w:hint="eastAsia"/>
        </w:rPr>
        <w:t>强化路面执法，确保道路安全畅通。</w:t>
      </w:r>
      <w:r>
        <w:rPr>
          <w:rFonts w:hint="eastAsia"/>
        </w:rPr>
        <w:t>公安交警、交通等部门要增强一线路面执法力量，对干线公路进行全面梳理，明确易堵、易发生事故的路段和节点，有针对性地制订治理方案和分流绕行预案。合理安排公路养护施工作业计划，春运高峰期原则上不开展高速公路养护作业。加强路网运行监测，做好通行服务信息采集和发布，及时报送公路阻断等信息。对有车辆滞留和拥堵苗头的路段要早发现、早提示、早处置。加强部门联勤联动，推行交通事故快处快赔，优化防疫检查站点设置，避免“因检致堵”。</w:t>
      </w:r>
    </w:p>
    <w:p>
      <w:pPr>
        <w:ind w:firstLine="643"/>
      </w:pPr>
      <w:r>
        <w:rPr>
          <w:rStyle w:val="10"/>
          <w:rFonts w:hint="eastAsia"/>
        </w:rPr>
        <w:t>（四）突出薄弱环节，健全完善应急预案。</w:t>
      </w:r>
      <w:r>
        <w:rPr>
          <w:rFonts w:hint="eastAsia"/>
        </w:rPr>
        <w:t>建立健全气象信息快速通报和预报预警机制，及时发布灾害预警信息，精准发布车次调整信息，引导旅客有序流动。制定并细化完善恶劣天气、安全事故等应急预案并及时启动，备好应急救援等物资设备。及时调配运力，疏散因天气等原因延误晚点出行的滞留旅客，并做好解释说明、维护秩序等工作，确保春运平稳有序。</w:t>
      </w:r>
    </w:p>
    <w:p>
      <w:pPr>
        <w:pStyle w:val="9"/>
        <w:ind w:firstLine="640"/>
        <w:rPr>
          <w:rFonts w:hint="eastAsia"/>
        </w:rPr>
      </w:pPr>
      <w:r>
        <w:rPr>
          <w:rFonts w:hint="eastAsia"/>
        </w:rPr>
        <w:t>四、加强部门联动，提升春运运力保通保畅</w:t>
      </w:r>
    </w:p>
    <w:p>
      <w:pPr>
        <w:ind w:firstLine="643"/>
        <w:rPr>
          <w:rFonts w:hint="eastAsia"/>
          <w:lang w:val="en-US" w:eastAsia="zh-CN"/>
        </w:rPr>
      </w:pPr>
      <w:r>
        <w:rPr>
          <w:rStyle w:val="10"/>
          <w:rFonts w:hint="eastAsia"/>
        </w:rPr>
        <w:t>（一）增加运力调配供应。</w:t>
      </w:r>
      <w:r>
        <w:rPr>
          <w:rFonts w:hint="eastAsia"/>
          <w:lang w:val="en-US" w:eastAsia="zh-CN"/>
        </w:rPr>
        <w:t>公路水等客运企业要密切监测分析客流变化，科学制定运输方案，加强重点时段、热点线路运力保障，按规定控制列车、长途客运汽车和客运船舶等交通工具载客率，全方位满足旅客出行需求。铁路要充分利用高铁输送能力，同时保证普速列车开行规模；公路要加强重要枢纽运力供给，灵活多样增加客运数量和班次，确保热点区域、线路、时段客运供给；水路要合理安排船舶运力和发班频次。</w:t>
      </w:r>
    </w:p>
    <w:p>
      <w:pPr>
        <w:ind w:firstLine="643"/>
        <w:rPr>
          <w:rFonts w:hint="eastAsia"/>
        </w:rPr>
      </w:pPr>
      <w:r>
        <w:rPr>
          <w:rStyle w:val="10"/>
          <w:rFonts w:hint="eastAsia"/>
        </w:rPr>
        <w:t>（二）增强运输联程联运。</w:t>
      </w:r>
      <w:r>
        <w:rPr>
          <w:rFonts w:hint="eastAsia"/>
        </w:rPr>
        <w:t>做好公铁水等不同运输方式相互间信息共享，加强综合交通枢纽协调调度，优化运输方式衔接，做好短途接驳，畅通出行“最后一公里”。发挥铁路的长途运输优势、公路的中短途运输优势，增加城市公交班次，延长运行时间，及时集疏运旅客，增强各种运输方式的协调性和互补性，更好地满足旅客出行各类需求。在满足疫情防控要求的前提下开展站内便捷换乘，继续推进铁路的安检流程优化工作，减缓旅客进出站拥挤和站内聚集。</w:t>
      </w:r>
    </w:p>
    <w:p>
      <w:pPr>
        <w:ind w:firstLine="643"/>
        <w:rPr>
          <w:kern w:val="0"/>
        </w:rPr>
      </w:pPr>
      <w:r>
        <w:rPr>
          <w:rStyle w:val="10"/>
          <w:rFonts w:hint="eastAsia"/>
        </w:rPr>
        <w:t>（三）加强重要物资调配。</w:t>
      </w:r>
      <w:r>
        <w:rPr>
          <w:rFonts w:hint="eastAsia"/>
        </w:rPr>
        <w:t>要着力兼顾物资运输，统</w:t>
      </w:r>
      <w:r>
        <w:rPr>
          <w:rFonts w:hint="eastAsia"/>
          <w:kern w:val="0"/>
        </w:rPr>
        <w:t>筹做好煤电、成品油、粮油及肉、禽、蛋、蔬菜等重点物资运输，满足企业正常生产和居民生活需要。要充分利用客流低谷时段，采取突击抢运等措施，增加货物运输。邮政、快递企业要保证春运期间信件、包裹和快件的收寄、运输和投递服务。</w:t>
      </w:r>
    </w:p>
    <w:p>
      <w:pPr>
        <w:pStyle w:val="9"/>
        <w:ind w:firstLine="640"/>
        <w:rPr>
          <w:rFonts w:hint="eastAsia"/>
        </w:rPr>
      </w:pPr>
      <w:r>
        <w:rPr>
          <w:rFonts w:hint="eastAsia"/>
        </w:rPr>
        <w:t>五、强化以人为本，</w:t>
      </w:r>
      <w:r>
        <w:rPr>
          <w:rFonts w:hint="eastAsia"/>
          <w:lang w:val="en-US" w:eastAsia="zh-CN"/>
        </w:rPr>
        <w:t>确保</w:t>
      </w:r>
      <w:r>
        <w:rPr>
          <w:rFonts w:hint="eastAsia"/>
        </w:rPr>
        <w:t>疫情常态下春运便捷出行</w:t>
      </w:r>
    </w:p>
    <w:p>
      <w:pPr>
        <w:ind w:firstLine="643"/>
        <w:rPr>
          <w:rFonts w:hint="default" w:eastAsia="仿宋_GB2312"/>
          <w:lang w:val="en-US" w:eastAsia="zh-CN"/>
        </w:rPr>
      </w:pPr>
      <w:r>
        <w:rPr>
          <w:rStyle w:val="10"/>
          <w:rFonts w:hint="eastAsia"/>
        </w:rPr>
        <w:t>（一）</w:t>
      </w:r>
      <w:r>
        <w:rPr>
          <w:rFonts w:hint="eastAsia" w:ascii="楷体_GB2312" w:hAnsi="楷体_GB2312" w:eastAsia="楷体_GB2312" w:cs="楷体_GB2312"/>
          <w:b/>
          <w:bCs/>
          <w:szCs w:val="20"/>
        </w:rPr>
        <w:t>增强出行服务能力</w:t>
      </w:r>
      <w:r>
        <w:rPr>
          <w:rStyle w:val="10"/>
          <w:rFonts w:hint="eastAsia"/>
        </w:rPr>
        <w:t>。</w:t>
      </w:r>
      <w:r>
        <w:rPr>
          <w:rFonts w:hint="eastAsia"/>
        </w:rPr>
        <w:t>扩大“无接触”出行服务应用范围，</w:t>
      </w:r>
      <w:r>
        <w:rPr>
          <w:rFonts w:hint="eastAsia"/>
          <w:b w:val="0"/>
          <w:bCs w:val="0"/>
        </w:rPr>
        <w:t>适时在莆增设自动检票机、安检仪，</w:t>
      </w:r>
      <w:r>
        <w:rPr>
          <w:rFonts w:hint="eastAsia"/>
        </w:rPr>
        <w:t>推广自助实名制核验通道。进一步推广和应用电子客票，推进“无纸化”便捷出行。提升网络售票服务水平，健全候补购票功能，及时发布因疫情防控调整的退改签政策。落实健康码全国“一码通行”，鼓励各地区推广刷身份证自动核验健康码服务。</w:t>
      </w:r>
      <w:r>
        <w:rPr>
          <w:rFonts w:hint="eastAsia"/>
          <w:lang w:val="en-US" w:eastAsia="zh-CN"/>
        </w:rPr>
        <w:t>加强高速公路沿线餐饮、救援服务监督检查，严厉打击宰客等损害旅客权益行为。</w:t>
      </w:r>
    </w:p>
    <w:p>
      <w:pPr>
        <w:ind w:firstLine="643"/>
      </w:pPr>
      <w:r>
        <w:rPr>
          <w:rStyle w:val="10"/>
        </w:rPr>
        <w:t>（三）做好重点群体服务。</w:t>
      </w:r>
      <w:r>
        <w:rPr>
          <w:rFonts w:hint="eastAsia"/>
        </w:rPr>
        <w:t>科学研判学生流、务工流、探亲流、返程流的主要时段及流动方向，有序组织开展学生、务工人员专列、包车、包船运输工作，</w:t>
      </w:r>
      <w:r>
        <w:rPr>
          <w:rFonts w:hint="eastAsia"/>
          <w:kern w:val="0"/>
        </w:rPr>
        <w:t>稳妥做好台胞返乡探亲出行集疏运工作</w:t>
      </w:r>
      <w:r>
        <w:rPr>
          <w:rFonts w:hint="eastAsia"/>
        </w:rPr>
        <w:t>。排查整改智能技术影响老年人出行问题，重点客运枢纽设置老年人服务专区。全面落实军人、消防救援人员及其随行家属交通出行依法优先优惠有关政策。</w:t>
      </w:r>
    </w:p>
    <w:p>
      <w:pPr>
        <w:ind w:firstLine="643"/>
        <w:rPr>
          <w:rFonts w:hint="eastAsia"/>
        </w:rPr>
      </w:pPr>
      <w:r>
        <w:rPr>
          <w:rStyle w:val="10"/>
        </w:rPr>
        <w:t>（四）精准实施志愿服务。</w:t>
      </w:r>
      <w:r>
        <w:rPr>
          <w:rFonts w:hint="eastAsia"/>
        </w:rPr>
        <w:t>按照预招储备、因需而动，因地制宜、大站为主,精简岗位、优化服务,加强培训、安全第一的原则，稳妥开展春运志愿服务“暖冬行动”。重点围绕疫情防控宣传提醒、咨询指引、票务协助等实际需求，精准确定岗位，加强规范管理。按照“谁使用、谁管理、谁保障”和“非必要，不上岗”原则，切实加强志愿者防疫及服务保障。</w:t>
      </w:r>
    </w:p>
    <w:p>
      <w:pPr>
        <w:pStyle w:val="9"/>
        <w:ind w:firstLine="640"/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  <w:lang w:val="en-US" w:eastAsia="zh-CN"/>
        </w:rPr>
        <w:t>加强宣传引导，</w:t>
      </w:r>
      <w:r>
        <w:rPr>
          <w:rFonts w:hint="eastAsia"/>
        </w:rPr>
        <w:t>营造春运和谐氛围</w:t>
      </w:r>
    </w:p>
    <w:p>
      <w:pPr>
        <w:ind w:firstLine="640"/>
      </w:pPr>
      <w:r>
        <w:rPr>
          <w:rFonts w:hint="eastAsia"/>
        </w:rPr>
        <w:t>持续开展疫情防控知识宣传，做好聚集性风险提示，增强广大旅客疫情防范意识和个人防护能力，自觉遵守疫情防控规定，做好个人健康防护。持续开展春运出行信息发布，深入推进交通安全宣传，提高车辆驾驶人和群众交通安全意识，防范道路交通事故。深入开展文明乘车，倡导诚信服务、文明出行，展示交通运输信用体系建设成效。要加强与宣传部门的沟通，综合利用各类媒体渠道，深度挖掘春运素材，突出反映经济社会发展成就、加快建设交通强国举措、春运感人事迹等。以车、船、路、港站等交通设施和窗口单位为载体，深入开展信用宣传活动，展示交通运输信用体系建设成效，倡导诚信服务、文明出行。加强对春运干部职工疫情防控物资的保障，提前备足必要的防疫物资。各级工会组织要加大对坚守春运工作一线职工的关心关爱，结合“两节”送温暖活动，组织开展走访慰问，推动改善职工生产生活条件。</w:t>
      </w:r>
    </w:p>
    <w:p>
      <w:pPr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区</w:t>
      </w:r>
      <w:r>
        <w:rPr>
          <w:rFonts w:hint="eastAsia"/>
        </w:rPr>
        <w:t>春运办联系人：</w:t>
      </w:r>
      <w:r>
        <w:rPr>
          <w:rFonts w:hint="eastAsia"/>
          <w:lang w:val="en-US" w:eastAsia="zh-CN"/>
        </w:rPr>
        <w:t>佘婷婷</w:t>
      </w:r>
      <w:r>
        <w:rPr>
          <w:rFonts w:hint="eastAsia"/>
        </w:rPr>
        <w:t>，电话：059</w:t>
      </w:r>
      <w:r>
        <w:t>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5857772</w:t>
      </w:r>
    </w:p>
    <w:p>
      <w:pPr>
        <w:ind w:firstLine="640"/>
      </w:pPr>
      <w:r>
        <w:rPr>
          <w:rFonts w:hint="eastAsia"/>
        </w:rPr>
        <w:t>传真：059</w:t>
      </w:r>
      <w:r>
        <w:t>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5881500</w:t>
      </w:r>
      <w:r>
        <w:rPr>
          <w:rFonts w:hint="eastAsia"/>
        </w:rPr>
        <w:t>，</w:t>
      </w:r>
      <w:r>
        <w:t>邮箱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jm5851587</w:t>
      </w:r>
      <w:r>
        <w:t>@163.com</w:t>
      </w:r>
    </w:p>
    <w:p>
      <w:pPr>
        <w:ind w:firstLine="640"/>
      </w:pPr>
    </w:p>
    <w:p>
      <w:pPr>
        <w:spacing w:line="52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附件：</w:t>
      </w:r>
      <w:r>
        <w:rPr>
          <w:rFonts w:hint="eastAsia"/>
          <w:szCs w:val="32"/>
          <w:lang w:val="en-US" w:eastAsia="zh-CN"/>
        </w:rPr>
        <w:t>秀屿区</w:t>
      </w:r>
      <w:r>
        <w:rPr>
          <w:rFonts w:hint="eastAsia"/>
          <w:szCs w:val="32"/>
        </w:rPr>
        <w:t>20</w:t>
      </w:r>
      <w:r>
        <w:rPr>
          <w:szCs w:val="32"/>
        </w:rPr>
        <w:t>22</w:t>
      </w:r>
      <w:r>
        <w:rPr>
          <w:rFonts w:hint="eastAsia"/>
          <w:szCs w:val="32"/>
        </w:rPr>
        <w:t>年春运工作领导小组成员单位名单</w:t>
      </w:r>
    </w:p>
    <w:p>
      <w:pPr>
        <w:widowControl/>
        <w:shd w:val="clear" w:color="auto" w:fill="FFFFFF"/>
        <w:spacing w:line="520" w:lineRule="exact"/>
        <w:ind w:firstLine="640"/>
        <w:rPr>
          <w:spacing w:val="-6"/>
          <w:szCs w:val="32"/>
        </w:rPr>
      </w:pPr>
      <w:r>
        <w:rPr>
          <w:rFonts w:hint="eastAsia"/>
          <w:szCs w:val="32"/>
        </w:rPr>
        <w:t>　　　</w:t>
      </w:r>
    </w:p>
    <w:p>
      <w:pPr>
        <w:widowControl/>
        <w:shd w:val="clear" w:color="auto" w:fill="FFFFFF"/>
        <w:spacing w:line="520" w:lineRule="exact"/>
        <w:ind w:firstLine="1884" w:firstLineChars="600"/>
        <w:rPr>
          <w:spacing w:val="-6"/>
          <w:szCs w:val="32"/>
        </w:rPr>
      </w:pPr>
    </w:p>
    <w:p>
      <w:pPr>
        <w:widowControl/>
        <w:shd w:val="clear" w:color="auto" w:fill="FFFFFF"/>
        <w:spacing w:line="520" w:lineRule="exact"/>
        <w:ind w:firstLine="640"/>
        <w:rPr>
          <w:rFonts w:hint="eastAsia"/>
          <w:szCs w:val="32"/>
        </w:rPr>
      </w:pPr>
    </w:p>
    <w:p>
      <w:pPr>
        <w:spacing w:line="520" w:lineRule="exact"/>
        <w:ind w:left="0" w:leftChars="0" w:firstLine="0" w:firstLineChars="0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</w:rPr>
        <w:t>莆田市</w:t>
      </w:r>
      <w:r>
        <w:rPr>
          <w:rFonts w:hint="eastAsia"/>
          <w:szCs w:val="32"/>
          <w:lang w:val="en-US" w:eastAsia="zh-CN"/>
        </w:rPr>
        <w:t>秀屿区</w:t>
      </w:r>
      <w:r>
        <w:rPr>
          <w:rFonts w:hint="eastAsia"/>
          <w:szCs w:val="32"/>
        </w:rPr>
        <w:t xml:space="preserve">工业和信息化局 </w:t>
      </w:r>
      <w:r>
        <w:rPr>
          <w:szCs w:val="32"/>
        </w:rPr>
        <w:t xml:space="preserve">   莆田市</w:t>
      </w:r>
      <w:r>
        <w:rPr>
          <w:rFonts w:hint="eastAsia"/>
          <w:szCs w:val="32"/>
          <w:lang w:val="en-US" w:eastAsia="zh-CN"/>
        </w:rPr>
        <w:t>秀屿区发展和改革局</w:t>
      </w:r>
    </w:p>
    <w:p>
      <w:pPr>
        <w:tabs>
          <w:tab w:val="left" w:pos="7560"/>
        </w:tabs>
        <w:spacing w:line="520" w:lineRule="exact"/>
        <w:ind w:firstLine="818" w:firstLineChars="251"/>
        <w:rPr>
          <w:szCs w:val="32"/>
        </w:rPr>
      </w:pPr>
    </w:p>
    <w:p>
      <w:pPr>
        <w:tabs>
          <w:tab w:val="left" w:pos="7560"/>
        </w:tabs>
        <w:spacing w:line="520" w:lineRule="exact"/>
        <w:ind w:firstLine="818" w:firstLineChars="251"/>
        <w:rPr>
          <w:szCs w:val="32"/>
        </w:rPr>
      </w:pPr>
    </w:p>
    <w:p>
      <w:pPr>
        <w:tabs>
          <w:tab w:val="left" w:pos="7560"/>
        </w:tabs>
        <w:spacing w:line="520" w:lineRule="exact"/>
        <w:ind w:firstLine="818" w:firstLineChars="251"/>
        <w:rPr>
          <w:rFonts w:hint="eastAsia"/>
          <w:szCs w:val="32"/>
        </w:rPr>
      </w:pPr>
    </w:p>
    <w:p>
      <w:pPr>
        <w:spacing w:line="0" w:lineRule="atLeast"/>
        <w:ind w:left="0" w:leftChars="0" w:firstLine="0" w:firstLineChars="0"/>
        <w:rPr>
          <w:szCs w:val="32"/>
        </w:rPr>
      </w:pPr>
      <w:r>
        <w:rPr>
          <w:rFonts w:hint="eastAsia"/>
          <w:szCs w:val="32"/>
          <w:lang w:val="en-US" w:eastAsia="zh-CN"/>
        </w:rPr>
        <w:t>莆</w:t>
      </w:r>
      <w:r>
        <w:rPr>
          <w:szCs w:val="32"/>
        </w:rPr>
        <w:t>田市</w:t>
      </w:r>
      <w:r>
        <w:rPr>
          <w:rFonts w:hint="eastAsia"/>
          <w:szCs w:val="32"/>
          <w:lang w:val="en-US" w:eastAsia="zh-CN"/>
        </w:rPr>
        <w:t>秀屿区</w:t>
      </w:r>
      <w:r>
        <w:rPr>
          <w:szCs w:val="32"/>
        </w:rPr>
        <w:t>交通运输局</w:t>
      </w:r>
      <w:r>
        <w:rPr>
          <w:rFonts w:hint="eastAsia"/>
          <w:szCs w:val="32"/>
          <w:lang w:val="en-US" w:eastAsia="zh-CN"/>
        </w:rPr>
        <w:t xml:space="preserve">          </w:t>
      </w:r>
      <w:r>
        <w:rPr>
          <w:szCs w:val="32"/>
        </w:rPr>
        <w:t>莆田市</w:t>
      </w:r>
      <w:r>
        <w:rPr>
          <w:rFonts w:hint="eastAsia"/>
          <w:szCs w:val="32"/>
          <w:lang w:val="en-US" w:eastAsia="zh-CN"/>
        </w:rPr>
        <w:t>秀屿区</w:t>
      </w:r>
      <w:r>
        <w:rPr>
          <w:szCs w:val="32"/>
        </w:rPr>
        <w:t>卫生健康</w:t>
      </w:r>
      <w:r>
        <w:rPr>
          <w:rFonts w:hint="eastAsia"/>
          <w:szCs w:val="32"/>
          <w:lang w:val="en-US" w:eastAsia="zh-CN"/>
        </w:rPr>
        <w:t>局</w:t>
      </w:r>
      <w:r>
        <w:rPr>
          <w:szCs w:val="32"/>
        </w:rPr>
        <w:t xml:space="preserve">          </w:t>
      </w:r>
    </w:p>
    <w:p>
      <w:pPr>
        <w:tabs>
          <w:tab w:val="left" w:pos="7560"/>
        </w:tabs>
        <w:spacing w:line="0" w:lineRule="atLeast"/>
        <w:ind w:left="0" w:leftChars="0" w:firstLine="0" w:firstLineChars="0"/>
        <w:rPr>
          <w:szCs w:val="32"/>
        </w:rPr>
      </w:pPr>
    </w:p>
    <w:p>
      <w:pPr>
        <w:tabs>
          <w:tab w:val="left" w:pos="7560"/>
        </w:tabs>
        <w:spacing w:line="0" w:lineRule="atLeast"/>
        <w:ind w:left="0" w:leftChars="0" w:firstLine="0" w:firstLineChars="0"/>
        <w:rPr>
          <w:szCs w:val="32"/>
        </w:rPr>
      </w:pPr>
    </w:p>
    <w:p>
      <w:pPr>
        <w:tabs>
          <w:tab w:val="left" w:pos="7560"/>
        </w:tabs>
        <w:spacing w:line="0" w:lineRule="atLeast"/>
        <w:ind w:left="0" w:leftChars="0" w:firstLine="0" w:firstLineChars="0"/>
        <w:rPr>
          <w:rFonts w:hint="eastAsia"/>
          <w:szCs w:val="32"/>
          <w:lang w:val="en-US" w:eastAsia="zh-CN"/>
        </w:rPr>
      </w:pPr>
    </w:p>
    <w:p>
      <w:pPr>
        <w:tabs>
          <w:tab w:val="left" w:pos="7560"/>
        </w:tabs>
        <w:spacing w:line="0" w:lineRule="atLeast"/>
        <w:ind w:left="0" w:leftChars="0" w:firstLine="0" w:firstLineChars="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莆田市公安局秀屿分局            莆田市秀屿区应急管理局</w:t>
      </w:r>
    </w:p>
    <w:p>
      <w:pPr>
        <w:tabs>
          <w:tab w:val="left" w:pos="7560"/>
        </w:tabs>
        <w:spacing w:line="0" w:lineRule="atLeast"/>
        <w:ind w:firstLine="818" w:firstLineChars="251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                          </w:t>
      </w:r>
    </w:p>
    <w:p>
      <w:pPr>
        <w:tabs>
          <w:tab w:val="left" w:pos="7560"/>
        </w:tabs>
        <w:spacing w:line="0" w:lineRule="atLeast"/>
        <w:ind w:firstLine="6357" w:firstLineChars="1950"/>
        <w:rPr>
          <w:szCs w:val="32"/>
        </w:rPr>
      </w:pPr>
      <w:r>
        <w:rPr>
          <w:rFonts w:hint="eastAsia"/>
          <w:szCs w:val="32"/>
        </w:rPr>
        <w:t>20</w:t>
      </w:r>
      <w:r>
        <w:rPr>
          <w:szCs w:val="32"/>
        </w:rPr>
        <w:t>21</w:t>
      </w:r>
      <w:r>
        <w:rPr>
          <w:rFonts w:hint="eastAsia"/>
          <w:szCs w:val="32"/>
        </w:rPr>
        <w:t>年</w:t>
      </w:r>
      <w:r>
        <w:rPr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16</w:t>
      </w:r>
      <w:r>
        <w:rPr>
          <w:rFonts w:hint="eastAsia"/>
          <w:szCs w:val="32"/>
        </w:rPr>
        <w:t>日</w:t>
      </w:r>
    </w:p>
    <w:p>
      <w:pPr>
        <w:tabs>
          <w:tab w:val="left" w:pos="7560"/>
        </w:tabs>
        <w:spacing w:line="0" w:lineRule="atLeast"/>
        <w:ind w:firstLine="818" w:firstLineChars="251"/>
        <w:rPr>
          <w:rFonts w:hint="eastAsia"/>
          <w:szCs w:val="32"/>
        </w:rPr>
      </w:pPr>
    </w:p>
    <w:p>
      <w:pPr>
        <w:tabs>
          <w:tab w:val="left" w:pos="7560"/>
        </w:tabs>
        <w:spacing w:line="0" w:lineRule="atLeast"/>
        <w:ind w:firstLine="818" w:firstLineChars="251"/>
        <w:rPr>
          <w:rFonts w:ascii="黑体" w:hAnsi="黑体" w:eastAsia="黑体" w:cs="黑体"/>
          <w:szCs w:val="32"/>
        </w:rPr>
      </w:pPr>
      <w:r>
        <w:rPr>
          <w:rFonts w:hint="eastAsia"/>
          <w:szCs w:val="32"/>
        </w:rPr>
        <w:t>（此件</w:t>
      </w:r>
      <w:r>
        <w:rPr>
          <w:rFonts w:hint="eastAsia"/>
          <w:szCs w:val="32"/>
          <w:lang w:val="en-US" w:eastAsia="zh-CN"/>
        </w:rPr>
        <w:t>主动</w:t>
      </w:r>
      <w:r>
        <w:rPr>
          <w:rFonts w:hint="eastAsia"/>
          <w:szCs w:val="32"/>
        </w:rPr>
        <w:t>公开）</w:t>
      </w:r>
      <w:r>
        <w:rPr>
          <w:szCs w:val="32"/>
        </w:rPr>
        <w:br w:type="page"/>
      </w:r>
      <w:r>
        <w:rPr>
          <w:rFonts w:hint="eastAsia" w:ascii="黑体" w:hAnsi="黑体" w:eastAsia="黑体" w:cs="黑体"/>
          <w:sz w:val="28"/>
          <w:szCs w:val="32"/>
        </w:rPr>
        <w:t>附件</w:t>
      </w:r>
    </w:p>
    <w:p>
      <w:pPr>
        <w:tabs>
          <w:tab w:val="left" w:pos="7560"/>
        </w:tabs>
        <w:spacing w:line="520" w:lineRule="exact"/>
        <w:ind w:firstLine="640"/>
        <w:rPr>
          <w:szCs w:val="32"/>
        </w:rPr>
      </w:pPr>
    </w:p>
    <w:p>
      <w:pPr>
        <w:pStyle w:val="8"/>
        <w:rPr>
          <w:sz w:val="40"/>
        </w:rPr>
      </w:pPr>
      <w:r>
        <w:rPr>
          <w:rFonts w:hint="eastAsia"/>
          <w:sz w:val="40"/>
        </w:rPr>
        <w:t>莆田市</w:t>
      </w:r>
      <w:r>
        <w:rPr>
          <w:rFonts w:hint="eastAsia"/>
          <w:sz w:val="40"/>
          <w:lang w:val="en-US" w:eastAsia="zh-CN"/>
        </w:rPr>
        <w:t>秀屿区</w:t>
      </w:r>
      <w:r>
        <w:rPr>
          <w:rFonts w:hint="eastAsia"/>
          <w:sz w:val="40"/>
        </w:rPr>
        <w:t>2</w:t>
      </w:r>
      <w:r>
        <w:rPr>
          <w:sz w:val="40"/>
        </w:rPr>
        <w:t>022</w:t>
      </w:r>
      <w:r>
        <w:rPr>
          <w:rFonts w:hint="eastAsia"/>
          <w:sz w:val="40"/>
        </w:rPr>
        <w:t>年春运工作领导小组成员</w:t>
      </w:r>
    </w:p>
    <w:p>
      <w:pPr>
        <w:pStyle w:val="8"/>
        <w:rPr>
          <w:sz w:val="40"/>
        </w:rPr>
      </w:pPr>
      <w:r>
        <w:rPr>
          <w:rFonts w:hint="eastAsia"/>
          <w:sz w:val="40"/>
        </w:rPr>
        <w:t>单位名单</w:t>
      </w:r>
    </w:p>
    <w:p>
      <w:pPr>
        <w:tabs>
          <w:tab w:val="left" w:pos="7560"/>
        </w:tabs>
        <w:spacing w:line="520" w:lineRule="exact"/>
        <w:ind w:firstLine="640"/>
        <w:rPr>
          <w:szCs w:val="32"/>
        </w:rPr>
      </w:pPr>
    </w:p>
    <w:p>
      <w:pPr>
        <w:ind w:firstLine="640"/>
      </w:pPr>
    </w:p>
    <w:p>
      <w:pPr>
        <w:ind w:firstLine="640"/>
      </w:pPr>
      <w:r>
        <w:rPr>
          <w:rFonts w:hint="eastAsia"/>
          <w:lang w:val="en-US" w:eastAsia="zh-CN"/>
        </w:rPr>
        <w:t>区</w:t>
      </w:r>
      <w:r>
        <w:rPr>
          <w:rFonts w:hint="eastAsia"/>
        </w:rPr>
        <w:t>工信局、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发改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交通运输局、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卫健</w:t>
      </w:r>
      <w:r>
        <w:rPr>
          <w:rFonts w:hint="eastAsia"/>
          <w:lang w:val="en-US" w:eastAsia="zh-CN"/>
        </w:rPr>
        <w:t>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莆田</w:t>
      </w:r>
      <w:r>
        <w:rPr>
          <w:rFonts w:hint="eastAsia"/>
        </w:rPr>
        <w:t>市公安局</w:t>
      </w:r>
      <w:r>
        <w:rPr>
          <w:rFonts w:hint="eastAsia"/>
          <w:lang w:val="en-US" w:eastAsia="zh-CN"/>
        </w:rPr>
        <w:t>秀屿分局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应急局、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教育局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市场监管局、</w:t>
      </w:r>
      <w:r>
        <w:rPr>
          <w:rFonts w:hint="eastAsia"/>
          <w:lang w:val="en-US" w:eastAsia="zh-CN"/>
        </w:rPr>
        <w:t>区</w:t>
      </w:r>
      <w:bookmarkStart w:id="0" w:name="_GoBack"/>
      <w:bookmarkEnd w:id="0"/>
      <w:r>
        <w:rPr>
          <w:rFonts w:hint="eastAsia"/>
        </w:rPr>
        <w:t>文旅局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委宣传部（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政府新闻办）、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人社局、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商务局（口岸办）、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气象局、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台办、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总工会、团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委、</w:t>
      </w:r>
      <w:r>
        <w:rPr>
          <w:rFonts w:hint="eastAsia"/>
          <w:lang w:val="en-US" w:eastAsia="zh-CN"/>
        </w:rPr>
        <w:t>秀屿港</w:t>
      </w:r>
      <w:r>
        <w:rPr>
          <w:rFonts w:hint="eastAsia"/>
        </w:rPr>
        <w:t>海事</w:t>
      </w:r>
      <w:r>
        <w:rPr>
          <w:rFonts w:hint="eastAsia"/>
          <w:lang w:val="en-US" w:eastAsia="zh-CN"/>
        </w:rPr>
        <w:t>处</w:t>
      </w:r>
      <w:r>
        <w:rPr>
          <w:rFonts w:hint="eastAsia"/>
        </w:rPr>
        <w:t>、国网莆田供电公司</w:t>
      </w:r>
      <w:r>
        <w:rPr>
          <w:rFonts w:hint="eastAsia"/>
          <w:lang w:val="en-US" w:eastAsia="zh-CN"/>
        </w:rPr>
        <w:t>秀屿分中心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莆田市火车站管理处</w:t>
      </w:r>
      <w:r>
        <w:rPr>
          <w:rFonts w:hint="eastAsia"/>
        </w:rPr>
        <w:t>、中海福建天然气有限责任公司。</w:t>
      </w: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hint="eastAsia"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left="0" w:leftChars="0" w:firstLine="0" w:firstLineChars="0"/>
        <w:rPr>
          <w:rFonts w:ascii="黑体" w:eastAsia="黑体"/>
          <w:szCs w:val="32"/>
        </w:rPr>
      </w:pPr>
    </w:p>
    <w:p>
      <w:pPr>
        <w:tabs>
          <w:tab w:val="left" w:pos="7560"/>
        </w:tabs>
        <w:spacing w:line="100" w:lineRule="exact"/>
        <w:ind w:firstLine="640"/>
        <w:rPr>
          <w:rFonts w:hint="eastAsia" w:ascii="黑体" w:eastAsia="黑体"/>
          <w:szCs w:val="32"/>
        </w:rPr>
      </w:pPr>
    </w:p>
    <w:p>
      <w:pPr>
        <w:widowControl/>
        <w:pBdr>
          <w:top w:val="single" w:color="auto" w:sz="8" w:space="0"/>
          <w:bottom w:val="single" w:color="auto" w:sz="8" w:space="0"/>
        </w:pBdr>
        <w:shd w:val="clear" w:color="auto" w:fill="FFFFFF"/>
        <w:spacing w:line="540" w:lineRule="exact"/>
        <w:ind w:firstLine="202" w:firstLineChars="71"/>
        <w:rPr>
          <w:rFonts w:hint="eastAsia"/>
        </w:rPr>
      </w:pPr>
      <w:r>
        <w:rPr>
          <w:rFonts w:hint="eastAsia"/>
          <w:color w:val="000000"/>
          <w:kern w:val="0"/>
          <w:sz w:val="28"/>
          <w:szCs w:val="28"/>
        </w:rPr>
        <w:t>莆田市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秀屿区</w:t>
      </w:r>
      <w:r>
        <w:rPr>
          <w:rFonts w:hint="eastAsia"/>
          <w:color w:val="000000"/>
          <w:kern w:val="0"/>
          <w:sz w:val="28"/>
          <w:szCs w:val="28"/>
        </w:rPr>
        <w:t>工业和信息化局</w:t>
      </w:r>
      <w:r>
        <w:rPr>
          <w:color w:val="000000"/>
          <w:kern w:val="0"/>
          <w:sz w:val="28"/>
          <w:szCs w:val="28"/>
        </w:rPr>
        <w:t xml:space="preserve">         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color w:val="000000"/>
          <w:kern w:val="0"/>
          <w:sz w:val="28"/>
          <w:szCs w:val="28"/>
        </w:rPr>
        <w:t>20</w:t>
      </w:r>
      <w:r>
        <w:rPr>
          <w:color w:val="000000"/>
          <w:kern w:val="0"/>
          <w:sz w:val="28"/>
          <w:szCs w:val="28"/>
        </w:rPr>
        <w:t>2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kern w:val="0"/>
          <w:sz w:val="28"/>
          <w:szCs w:val="28"/>
        </w:rPr>
        <w:t>年1月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/>
          <w:color w:val="000000"/>
          <w:kern w:val="0"/>
          <w:sz w:val="28"/>
          <w:szCs w:val="28"/>
        </w:rPr>
        <w:t>日印发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AndChars" w:linePitch="588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52"/>
      </w:pPr>
      <w:r>
        <w:separator/>
      </w:r>
    </w:p>
  </w:endnote>
  <w:endnote w:type="continuationSeparator" w:id="1">
    <w:p>
      <w:pPr>
        <w:spacing w:line="240" w:lineRule="auto"/>
        <w:ind w:firstLine="65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Condensed">
    <w:panose1 w:val="020B0502040204020203"/>
    <w:charset w:val="00"/>
    <w:family w:val="swiss"/>
    <w:pitch w:val="default"/>
    <w:sig w:usb0="A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80"/>
      <w:rPr>
        <w:rFonts w:hint="eastAsia" w:hAnsi="Bahnschrift Condensed"/>
        <w:sz w:val="24"/>
        <w:szCs w:val="24"/>
      </w:rPr>
    </w:pPr>
    <w:r>
      <w:rPr>
        <w:rFonts w:hint="eastAsia" w:hAnsi="Bahnschrift Condensed"/>
        <w:sz w:val="24"/>
        <w:szCs w:val="24"/>
      </w:rPr>
      <w:fldChar w:fldCharType="begin"/>
    </w:r>
    <w:r>
      <w:rPr>
        <w:rFonts w:hint="eastAsia" w:hAnsi="Bahnschrift Condensed"/>
        <w:sz w:val="24"/>
        <w:szCs w:val="24"/>
      </w:rPr>
      <w:instrText xml:space="preserve">PAGE   \* MERGEFORMAT</w:instrText>
    </w:r>
    <w:r>
      <w:rPr>
        <w:rFonts w:hint="eastAsia" w:hAnsi="Bahnschrift Condensed"/>
        <w:sz w:val="24"/>
        <w:szCs w:val="24"/>
      </w:rPr>
      <w:fldChar w:fldCharType="separate"/>
    </w:r>
    <w:r>
      <w:rPr>
        <w:rFonts w:hAnsi="Bahnschrift Condensed"/>
        <w:sz w:val="24"/>
        <w:szCs w:val="24"/>
        <w:lang w:val="zh-CN"/>
      </w:rPr>
      <w:t>-</w:t>
    </w:r>
    <w:r>
      <w:rPr>
        <w:rFonts w:hAnsi="Bahnschrift Condensed"/>
        <w:sz w:val="24"/>
        <w:szCs w:val="24"/>
      </w:rPr>
      <w:t xml:space="preserve"> 10 -</w:t>
    </w:r>
    <w:r>
      <w:rPr>
        <w:rFonts w:hint="eastAsia" w:hAnsi="Bahnschrift Condensed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52"/>
      </w:pPr>
      <w:r>
        <w:separator/>
      </w:r>
    </w:p>
  </w:footnote>
  <w:footnote w:type="continuationSeparator" w:id="1">
    <w:p>
      <w:pPr>
        <w:spacing w:line="240" w:lineRule="auto"/>
        <w:ind w:firstLine="65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94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87150"/>
    <w:rsid w:val="021C4862"/>
    <w:rsid w:val="02D87150"/>
    <w:rsid w:val="0D8C5BE9"/>
    <w:rsid w:val="1BB807A4"/>
    <w:rsid w:val="26A12E8E"/>
    <w:rsid w:val="2D4679C7"/>
    <w:rsid w:val="36DC65BB"/>
    <w:rsid w:val="456068FF"/>
    <w:rsid w:val="5A621B7F"/>
    <w:rsid w:val="63075E3E"/>
    <w:rsid w:val="660D2535"/>
    <w:rsid w:val="66773CDB"/>
    <w:rsid w:val="6BE77E2F"/>
    <w:rsid w:val="6FE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customStyle="1" w:styleId="8">
    <w:name w:val="文头"/>
    <w:basedOn w:val="1"/>
    <w:next w:val="1"/>
    <w:qFormat/>
    <w:uiPriority w:val="0"/>
    <w:pPr>
      <w:ind w:firstLine="0" w:firstLineChars="0"/>
      <w:jc w:val="center"/>
    </w:pPr>
    <w:rPr>
      <w:rFonts w:ascii="方正小标宋简体" w:eastAsia="方正小标宋简体"/>
      <w:sz w:val="44"/>
    </w:rPr>
  </w:style>
  <w:style w:type="paragraph" w:customStyle="1" w:styleId="9">
    <w:name w:val="（1）标题"/>
    <w:basedOn w:val="1"/>
    <w:next w:val="1"/>
    <w:qFormat/>
    <w:uiPriority w:val="0"/>
    <w:rPr>
      <w:rFonts w:ascii="黑体" w:eastAsia="黑体"/>
    </w:rPr>
  </w:style>
  <w:style w:type="character" w:customStyle="1" w:styleId="10">
    <w:name w:val="（2）标题 Char"/>
    <w:link w:val="11"/>
    <w:qFormat/>
    <w:uiPriority w:val="0"/>
    <w:rPr>
      <w:rFonts w:ascii="黑体" w:eastAsia="楷体_GB2312"/>
      <w:b/>
    </w:rPr>
  </w:style>
  <w:style w:type="paragraph" w:customStyle="1" w:styleId="11">
    <w:name w:val="（2）标题"/>
    <w:basedOn w:val="1"/>
    <w:next w:val="1"/>
    <w:link w:val="10"/>
    <w:qFormat/>
    <w:uiPriority w:val="0"/>
    <w:rPr>
      <w:rFonts w:ascii="黑体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2022-01-14T02:16:00Z</dcterms:created>
  <dc:creator>19959533768</dc:creator>
  <cp:lastModifiedBy>19959533768</cp:lastModifiedBy>
  <cp:lastPrinted>2022-01-19T07:17:00Z</cp:lastPrinted>
  <dcterms:modified xsi:type="dcterms:W3CDTF">2022-01-25T01:17:39Z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E76B066BA2884428AE0645E93E80233E</vt:lpwstr>
  </property>
</Properties>
</file>