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 w:val="0"/>
        <w:wordWrap/>
        <w:overflowPunct w:val="0"/>
        <w:adjustRightInd/>
        <w:snapToGrid w:val="0"/>
        <w:spacing w:before="18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  <w:shd w:val="clear" w:color="040000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shd w:val="clear" w:color="040000" w:fill="FFFFFF"/>
          <w:lang w:val="en-US" w:eastAsia="zh-CN"/>
        </w:rPr>
        <w:t>附件</w:t>
      </w:r>
    </w:p>
    <w:p>
      <w:pPr>
        <w:pStyle w:val="2"/>
        <w:widowControl w:val="0"/>
        <w:wordWrap/>
        <w:overflowPunct w:val="0"/>
        <w:adjustRightInd/>
        <w:snapToGrid w:val="0"/>
        <w:spacing w:before="18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04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040000" w:fill="FFFFFF"/>
          <w:lang w:val="en-US" w:eastAsia="zh-CN"/>
        </w:rPr>
        <w:t>测管联动监测服务项目报价清单</w:t>
      </w:r>
    </w:p>
    <w:p>
      <w:pPr>
        <w:pStyle w:val="2"/>
        <w:widowControl w:val="0"/>
        <w:wordWrap/>
        <w:overflowPunct w:val="0"/>
        <w:adjustRightInd/>
        <w:snapToGrid w:val="0"/>
        <w:spacing w:before="180" w:beforeAutospacing="0" w:after="0" w:afterAutospacing="0"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sz w:val="36"/>
          <w:szCs w:val="36"/>
          <w:shd w:val="clear" w:color="040000" w:fill="FFFFFF"/>
          <w:lang w:val="en-US" w:eastAsia="zh-CN"/>
        </w:rPr>
      </w:pPr>
    </w:p>
    <w:tbl>
      <w:tblPr>
        <w:tblW w:w="74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273"/>
        <w:gridCol w:w="3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监测项目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  <w:lang w:val="en-US" w:eastAsia="zh-CN"/>
              </w:rPr>
              <w:t>监测因子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废水（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080000" w:fill="FFFFFF"/>
              </w:rPr>
              <w:t>包含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城乡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080000" w:fill="FFFFFF"/>
              </w:rPr>
              <w:t>污水处理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设施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080000" w:fill="FFFFFF"/>
              </w:rPr>
              <w:t>废水、医疗机构废水、畜禽养殖废水、含重金属废水等类别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）</w:t>
            </w:r>
          </w:p>
        </w:tc>
        <w:tc>
          <w:tcPr>
            <w:tcW w:w="37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COD、氨氮、总氮、总磷、悬浮物、PH、粪大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080000" w:fill="FFFFFF"/>
                <w:lang w:val="en-US" w:eastAsia="zh-CN"/>
              </w:rPr>
              <w:t>肠杆菌、溶解氧、盐度、高锰酸盐指数、六价铬、总铬、总镍、总铜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废气（包含挥发性有机物废气、锅炉废气、恶臭等类别）</w:t>
            </w:r>
          </w:p>
        </w:tc>
        <w:tc>
          <w:tcPr>
            <w:tcW w:w="3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二氧化硫、氮氧化物、颗粒物、一氧化碳、非甲烷总烃、恶臭、机动车尾气、汞及其化合物（燃煤锅炉）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2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土壤</w:t>
            </w:r>
          </w:p>
        </w:tc>
        <w:tc>
          <w:tcPr>
            <w:tcW w:w="374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汞、镉、铅、铬、砷、铜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噪声</w:t>
            </w:r>
          </w:p>
        </w:tc>
        <w:tc>
          <w:tcPr>
            <w:tcW w:w="3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/>
              </w:rPr>
              <w:t>厂界噪声（昼/夜）</w:t>
            </w:r>
          </w:p>
        </w:tc>
      </w:tr>
    </w:tbl>
    <w:p>
      <w:pPr>
        <w:pStyle w:val="2"/>
        <w:widowControl w:val="0"/>
        <w:wordWrap/>
        <w:overflowPunct w:val="0"/>
        <w:adjustRightInd/>
        <w:snapToGrid w:val="0"/>
        <w:spacing w:before="18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040000" w:fill="FFFFFF"/>
          <w:lang w:val="en-US" w:eastAsia="zh-CN"/>
        </w:rPr>
      </w:pPr>
    </w:p>
    <w:p>
      <w:pPr>
        <w:numPr>
          <w:numId w:val="0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0A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0A0000" w:fill="FFFFFF"/>
          <w:lang w:val="en-US" w:eastAsia="zh-CN"/>
        </w:rPr>
        <w:t>注：以上项目均按一个监测点位、一个频次报价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1078</Words>
  <Characters>1122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2023-03-07T01:06:00Z</dcterms:created>
  <dc:creator>ptcxx</dc:creator>
  <cp:lastModifiedBy>123</cp:lastModifiedBy>
  <cp:lastPrinted>2024-05-22T08:00:00Z</cp:lastPrinted>
  <dcterms:modified xsi:type="dcterms:W3CDTF">2024-05-28T07:44:27Z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3206827F6F6B43279ED4B56D63A9D343</vt:lpwstr>
  </property>
</Properties>
</file>