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DEBAAD">
      <w:pPr>
        <w:adjustRightInd w:val="0"/>
        <w:snapToGrid w:val="0"/>
        <w:spacing w:line="288" w:lineRule="auto"/>
        <w:ind w:left="0" w:leftChars="0" w:firstLine="0" w:firstLineChars="0"/>
        <w:jc w:val="both"/>
        <w:rPr>
          <w:rFonts w:hint="eastAsia" w:ascii="楷体_GB2312" w:eastAsia="楷体_GB2312"/>
          <w:sz w:val="36"/>
          <w:szCs w:val="36"/>
          <w:lang w:eastAsia="zh-CN"/>
        </w:rPr>
      </w:pPr>
      <w:r>
        <w:rPr>
          <w:rFonts w:hint="eastAsia" w:ascii="楷体_GB2312" w:eastAsia="楷体_GB2312"/>
          <w:sz w:val="36"/>
          <w:szCs w:val="36"/>
          <w:lang w:eastAsia="zh-CN"/>
        </w:rPr>
        <w:drawing>
          <wp:inline distT="0" distB="0" distL="114300" distR="114300">
            <wp:extent cx="5615305" cy="7935595"/>
            <wp:effectExtent l="0" t="0" r="4445" b="8255"/>
            <wp:docPr id="60" name="图片 35" descr="0f83cd2aad02a809b386c0bcd099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descr="0f83cd2aad02a809b386c0bcd0995c4"/>
                    <pic:cNvPicPr>
                      <a:picLocks noChangeAspect="1"/>
                    </pic:cNvPicPr>
                  </pic:nvPicPr>
                  <pic:blipFill>
                    <a:blip r:embed="rId11"/>
                    <a:stretch>
                      <a:fillRect/>
                    </a:stretch>
                  </pic:blipFill>
                  <pic:spPr>
                    <a:xfrm>
                      <a:off x="0" y="0"/>
                      <a:ext cx="5615305" cy="7935595"/>
                    </a:xfrm>
                    <a:prstGeom prst="rect">
                      <a:avLst/>
                    </a:prstGeom>
                    <a:noFill/>
                    <a:ln>
                      <a:noFill/>
                    </a:ln>
                  </pic:spPr>
                </pic:pic>
              </a:graphicData>
            </a:graphic>
          </wp:inline>
        </w:drawing>
      </w:r>
    </w:p>
    <w:p w14:paraId="6C4BDD3B">
      <w:pPr>
        <w:adjustRightInd w:val="0"/>
        <w:snapToGrid w:val="0"/>
        <w:spacing w:line="288" w:lineRule="auto"/>
        <w:ind w:firstLine="1040"/>
        <w:rPr>
          <w:rFonts w:ascii="仿宋_GB2312" w:eastAsia="仿宋_GB2312"/>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92E4DEB">
      <w:pPr>
        <w:pStyle w:val="13"/>
        <w:ind w:left="0" w:leftChars="0" w:firstLine="0" w:firstLineChars="0"/>
        <w:jc w:val="both"/>
        <w:outlineLvl w:val="9"/>
        <w:rPr>
          <w:rFonts w:hint="eastAsia" w:ascii="Times New Roman" w:hAnsi="Times New Roman" w:eastAsia="宋体" w:cs="Times New Roman"/>
          <w:snapToGrid w:val="0"/>
          <w:sz w:val="30"/>
          <w:szCs w:val="30"/>
          <w:lang w:eastAsia="zh-CN"/>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snapToGrid w:val="0"/>
          <w:sz w:val="30"/>
          <w:szCs w:val="30"/>
          <w:lang w:eastAsia="zh-CN"/>
        </w:rPr>
        <w:drawing>
          <wp:inline distT="0" distB="0" distL="114300" distR="114300">
            <wp:extent cx="5611495" cy="7717790"/>
            <wp:effectExtent l="0" t="0" r="8255" b="16510"/>
            <wp:docPr id="70" name="图片 70" descr="6e1ebe32c9081603146cbd20ffbb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e1ebe32c9081603146cbd20ffbb0ec"/>
                    <pic:cNvPicPr>
                      <a:picLocks noChangeAspect="1"/>
                    </pic:cNvPicPr>
                  </pic:nvPicPr>
                  <pic:blipFill>
                    <a:blip r:embed="rId12"/>
                    <a:stretch>
                      <a:fillRect/>
                    </a:stretch>
                  </pic:blipFill>
                  <pic:spPr>
                    <a:xfrm>
                      <a:off x="0" y="0"/>
                      <a:ext cx="5611495" cy="7717790"/>
                    </a:xfrm>
                    <a:prstGeom prst="rect">
                      <a:avLst/>
                    </a:prstGeom>
                  </pic:spPr>
                </pic:pic>
              </a:graphicData>
            </a:graphic>
          </wp:inline>
        </w:drawing>
      </w:r>
      <w:r>
        <w:rPr>
          <w:rFonts w:hint="eastAsia" w:ascii="Times New Roman" w:hAnsi="Times New Roman" w:eastAsia="宋体" w:cs="Times New Roman"/>
          <w:snapToGrid w:val="0"/>
          <w:sz w:val="30"/>
          <w:szCs w:val="30"/>
          <w:lang w:eastAsia="zh-CN"/>
        </w:rPr>
        <w:drawing>
          <wp:inline distT="0" distB="0" distL="114300" distR="114300">
            <wp:extent cx="5614035" cy="7935595"/>
            <wp:effectExtent l="0" t="0" r="5715" b="8255"/>
            <wp:docPr id="62" name="图片 37" descr="45ca7240bd7647e3e2121d834c9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descr="45ca7240bd7647e3e2121d834c97557"/>
                    <pic:cNvPicPr>
                      <a:picLocks noChangeAspect="1"/>
                    </pic:cNvPicPr>
                  </pic:nvPicPr>
                  <pic:blipFill>
                    <a:blip r:embed="rId13"/>
                    <a:stretch>
                      <a:fillRect/>
                    </a:stretch>
                  </pic:blipFill>
                  <pic:spPr>
                    <a:xfrm>
                      <a:off x="0" y="0"/>
                      <a:ext cx="5614035" cy="7935595"/>
                    </a:xfrm>
                    <a:prstGeom prst="rect">
                      <a:avLst/>
                    </a:prstGeom>
                    <a:noFill/>
                    <a:ln>
                      <a:noFill/>
                    </a:ln>
                  </pic:spPr>
                </pic:pic>
              </a:graphicData>
            </a:graphic>
          </wp:inline>
        </w:drawing>
      </w:r>
      <w:r>
        <w:rPr>
          <w:rFonts w:hint="eastAsia" w:ascii="Times New Roman" w:hAnsi="Times New Roman" w:eastAsia="宋体" w:cs="Times New Roman"/>
          <w:snapToGrid w:val="0"/>
          <w:sz w:val="30"/>
          <w:szCs w:val="30"/>
          <w:lang w:eastAsia="zh-CN"/>
        </w:rPr>
        <w:drawing>
          <wp:inline distT="0" distB="0" distL="114300" distR="114300">
            <wp:extent cx="5614035" cy="7935595"/>
            <wp:effectExtent l="0" t="0" r="5715" b="8255"/>
            <wp:docPr id="63" name="图片 38" descr="5ee1d4ba555120d4b3ade16eaabd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5ee1d4ba555120d4b3ade16eaabd012"/>
                    <pic:cNvPicPr>
                      <a:picLocks noChangeAspect="1"/>
                    </pic:cNvPicPr>
                  </pic:nvPicPr>
                  <pic:blipFill>
                    <a:blip r:embed="rId14"/>
                    <a:stretch>
                      <a:fillRect/>
                    </a:stretch>
                  </pic:blipFill>
                  <pic:spPr>
                    <a:xfrm>
                      <a:off x="0" y="0"/>
                      <a:ext cx="5614035" cy="7935595"/>
                    </a:xfrm>
                    <a:prstGeom prst="rect">
                      <a:avLst/>
                    </a:prstGeom>
                    <a:noFill/>
                    <a:ln>
                      <a:noFill/>
                    </a:ln>
                  </pic:spPr>
                </pic:pic>
              </a:graphicData>
            </a:graphic>
          </wp:inline>
        </w:drawing>
      </w:r>
    </w:p>
    <w:p w14:paraId="31FB845C">
      <w:pPr>
        <w:numPr>
          <w:ilvl w:val="0"/>
          <w:numId w:val="0"/>
        </w:numPr>
        <w:spacing w:line="240" w:lineRule="auto"/>
        <w:jc w:val="center"/>
        <w:outlineLvl w:val="0"/>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一.建设项目基本情况</w:t>
      </w:r>
    </w:p>
    <w:tbl>
      <w:tblPr>
        <w:tblStyle w:val="17"/>
        <w:tblW w:w="91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07"/>
        <w:gridCol w:w="2364"/>
        <w:gridCol w:w="2212"/>
        <w:gridCol w:w="2639"/>
      </w:tblGrid>
      <w:tr w14:paraId="43993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00AE38FD">
            <w:pPr>
              <w:pStyle w:val="23"/>
              <w:jc w:val="center"/>
              <w:rPr>
                <w:rFonts w:hint="default"/>
              </w:rPr>
            </w:pPr>
            <w:r>
              <w:rPr>
                <w:rFonts w:hint="default"/>
              </w:rPr>
              <w:t>建设项目名称</w:t>
            </w:r>
          </w:p>
        </w:tc>
        <w:tc>
          <w:tcPr>
            <w:tcW w:w="7215" w:type="dxa"/>
            <w:gridSpan w:val="3"/>
            <w:vAlign w:val="center"/>
          </w:tcPr>
          <w:p w14:paraId="22715787">
            <w:pPr>
              <w:pStyle w:val="23"/>
              <w:jc w:val="center"/>
              <w:rPr>
                <w:rFonts w:hint="default"/>
                <w:lang w:val="en-US" w:eastAsia="zh-CN"/>
              </w:rPr>
            </w:pPr>
            <w:r>
              <w:rPr>
                <w:rFonts w:hint="default"/>
                <w:lang w:val="en-US" w:eastAsia="zh-CN"/>
              </w:rPr>
              <w:t>莆田市鑫木汇家具有限公司家具生产迁建项目</w:t>
            </w:r>
          </w:p>
        </w:tc>
      </w:tr>
      <w:tr w14:paraId="6BE1F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7C2CC05F">
            <w:pPr>
              <w:pStyle w:val="23"/>
              <w:jc w:val="center"/>
              <w:rPr>
                <w:rFonts w:hint="default"/>
              </w:rPr>
            </w:pPr>
            <w:r>
              <w:rPr>
                <w:rFonts w:hint="default"/>
              </w:rPr>
              <w:t>项目代码</w:t>
            </w:r>
          </w:p>
        </w:tc>
        <w:tc>
          <w:tcPr>
            <w:tcW w:w="7215" w:type="dxa"/>
            <w:gridSpan w:val="3"/>
            <w:vAlign w:val="center"/>
          </w:tcPr>
          <w:p w14:paraId="52509957">
            <w:pPr>
              <w:pStyle w:val="23"/>
              <w:jc w:val="center"/>
              <w:rPr>
                <w:rFonts w:hint="default"/>
                <w:lang w:val="en-US" w:eastAsia="zh-CN"/>
              </w:rPr>
            </w:pPr>
            <w:r>
              <w:rPr>
                <w:rFonts w:hint="eastAsia"/>
                <w:lang w:val="en-US" w:eastAsia="zh-CN"/>
              </w:rPr>
              <w:t>/</w:t>
            </w:r>
          </w:p>
        </w:tc>
      </w:tr>
      <w:tr w14:paraId="605C4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50553393">
            <w:pPr>
              <w:pStyle w:val="23"/>
              <w:jc w:val="center"/>
              <w:rPr>
                <w:rFonts w:hint="default"/>
              </w:rPr>
            </w:pPr>
            <w:r>
              <w:rPr>
                <w:rFonts w:hint="default"/>
              </w:rPr>
              <w:t>建设单位联系人</w:t>
            </w:r>
          </w:p>
        </w:tc>
        <w:tc>
          <w:tcPr>
            <w:tcW w:w="2364" w:type="dxa"/>
            <w:vAlign w:val="center"/>
          </w:tcPr>
          <w:p w14:paraId="3EA0DDF3">
            <w:pPr>
              <w:pStyle w:val="23"/>
              <w:jc w:val="center"/>
              <w:rPr>
                <w:rFonts w:hint="default"/>
                <w:lang w:val="en-US" w:eastAsia="zh-CN"/>
              </w:rPr>
            </w:pPr>
            <w:r>
              <w:rPr>
                <w:rFonts w:hint="eastAsia"/>
                <w:lang w:val="en-US" w:eastAsia="zh-CN"/>
              </w:rPr>
              <w:t>***</w:t>
            </w:r>
          </w:p>
        </w:tc>
        <w:tc>
          <w:tcPr>
            <w:tcW w:w="2212" w:type="dxa"/>
            <w:vAlign w:val="center"/>
          </w:tcPr>
          <w:p w14:paraId="16B130A9">
            <w:pPr>
              <w:pStyle w:val="23"/>
              <w:jc w:val="center"/>
              <w:rPr>
                <w:rFonts w:hint="default"/>
              </w:rPr>
            </w:pPr>
            <w:r>
              <w:rPr>
                <w:rFonts w:hint="default"/>
              </w:rPr>
              <w:t>联系方式</w:t>
            </w:r>
          </w:p>
        </w:tc>
        <w:tc>
          <w:tcPr>
            <w:tcW w:w="2639" w:type="dxa"/>
            <w:vAlign w:val="center"/>
          </w:tcPr>
          <w:p w14:paraId="399E7E55">
            <w:pPr>
              <w:pStyle w:val="23"/>
              <w:jc w:val="center"/>
              <w:rPr>
                <w:rFonts w:hint="default"/>
                <w:lang w:val="en-US" w:eastAsia="zh-CN"/>
              </w:rPr>
            </w:pPr>
            <w:r>
              <w:rPr>
                <w:rFonts w:hint="eastAsia"/>
                <w:lang w:val="en-US" w:eastAsia="zh-CN"/>
              </w:rPr>
              <w:t>***</w:t>
            </w:r>
          </w:p>
        </w:tc>
      </w:tr>
      <w:tr w14:paraId="255D7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0ED78505">
            <w:pPr>
              <w:pStyle w:val="23"/>
              <w:jc w:val="center"/>
              <w:rPr>
                <w:rFonts w:hint="default"/>
              </w:rPr>
            </w:pPr>
            <w:r>
              <w:rPr>
                <w:rFonts w:hint="default"/>
              </w:rPr>
              <w:t>建设地点</w:t>
            </w:r>
          </w:p>
        </w:tc>
        <w:tc>
          <w:tcPr>
            <w:tcW w:w="7215" w:type="dxa"/>
            <w:gridSpan w:val="3"/>
            <w:vAlign w:val="center"/>
          </w:tcPr>
          <w:p w14:paraId="2C0D61BB">
            <w:pPr>
              <w:pStyle w:val="23"/>
              <w:jc w:val="center"/>
              <w:rPr>
                <w:rFonts w:hint="default" w:eastAsia="宋体"/>
                <w:lang w:val="en-US" w:eastAsia="zh-CN"/>
              </w:rPr>
            </w:pPr>
            <w:r>
              <w:rPr>
                <w:rFonts w:hint="default" w:eastAsia="宋体"/>
                <w:lang w:val="en-US" w:eastAsia="zh-CN"/>
              </w:rPr>
              <w:t xml:space="preserve">福建省莆田市秀屿区东峤镇前沁村前沁 </w:t>
            </w:r>
            <w:r>
              <w:rPr>
                <w:rFonts w:hint="eastAsia"/>
                <w:lang w:val="en-US" w:eastAsia="zh-CN"/>
              </w:rPr>
              <w:t>1133</w:t>
            </w:r>
            <w:r>
              <w:rPr>
                <w:rFonts w:hint="default" w:eastAsia="宋体"/>
                <w:lang w:val="en-US" w:eastAsia="zh-CN"/>
              </w:rPr>
              <w:t xml:space="preserve"> 号</w:t>
            </w:r>
          </w:p>
        </w:tc>
      </w:tr>
      <w:tr w14:paraId="67369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7B58F04F">
            <w:pPr>
              <w:pStyle w:val="23"/>
              <w:jc w:val="center"/>
              <w:rPr>
                <w:rFonts w:hint="default"/>
              </w:rPr>
            </w:pPr>
            <w:r>
              <w:rPr>
                <w:rFonts w:hint="default"/>
              </w:rPr>
              <w:t>地理坐标</w:t>
            </w:r>
          </w:p>
        </w:tc>
        <w:tc>
          <w:tcPr>
            <w:tcW w:w="7215" w:type="dxa"/>
            <w:gridSpan w:val="3"/>
            <w:vAlign w:val="center"/>
          </w:tcPr>
          <w:p w14:paraId="1F0510CD">
            <w:pPr>
              <w:pStyle w:val="23"/>
              <w:jc w:val="center"/>
              <w:rPr>
                <w:rFonts w:hint="default"/>
              </w:rPr>
            </w:pPr>
            <w:r>
              <w:rPr>
                <w:rFonts w:hint="default" w:ascii="Times New Roman" w:hAnsi="Times New Roman" w:cs="Times New Roman"/>
                <w:lang w:val="en-US" w:eastAsia="zh-CN"/>
              </w:rPr>
              <w:t>东经：119°8′4.16″，北纬：25°15′55.13″</w:t>
            </w:r>
          </w:p>
        </w:tc>
      </w:tr>
      <w:tr w14:paraId="7B51F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07" w:type="dxa"/>
            <w:tcMar>
              <w:top w:w="16" w:type="dxa"/>
              <w:left w:w="16" w:type="dxa"/>
              <w:right w:w="16" w:type="dxa"/>
            </w:tcMar>
            <w:vAlign w:val="center"/>
          </w:tcPr>
          <w:p w14:paraId="23722DBD">
            <w:pPr>
              <w:pStyle w:val="23"/>
              <w:jc w:val="center"/>
              <w:rPr>
                <w:rFonts w:hint="default"/>
              </w:rPr>
            </w:pPr>
            <w:r>
              <w:rPr>
                <w:rFonts w:hint="default"/>
              </w:rPr>
              <w:t>国民经济</w:t>
            </w:r>
          </w:p>
          <w:p w14:paraId="6C002492">
            <w:pPr>
              <w:pStyle w:val="23"/>
              <w:jc w:val="center"/>
              <w:rPr>
                <w:rFonts w:hint="default"/>
              </w:rPr>
            </w:pPr>
            <w:r>
              <w:rPr>
                <w:rFonts w:hint="default"/>
              </w:rPr>
              <w:t>行业类别</w:t>
            </w:r>
          </w:p>
        </w:tc>
        <w:tc>
          <w:tcPr>
            <w:tcW w:w="2364" w:type="dxa"/>
            <w:vAlign w:val="center"/>
          </w:tcPr>
          <w:p w14:paraId="1CBA6914">
            <w:pPr>
              <w:pStyle w:val="23"/>
              <w:jc w:val="center"/>
              <w:rPr>
                <w:rFonts w:hint="default"/>
                <w:lang w:val="en-US" w:eastAsia="zh-CN"/>
              </w:rPr>
            </w:pPr>
            <w:r>
              <w:rPr>
                <w:rFonts w:hint="default"/>
                <w:lang w:val="en-US" w:eastAsia="zh-CN"/>
              </w:rPr>
              <w:t>C2110 木质家具制造</w:t>
            </w:r>
          </w:p>
        </w:tc>
        <w:tc>
          <w:tcPr>
            <w:tcW w:w="2212" w:type="dxa"/>
            <w:vAlign w:val="center"/>
          </w:tcPr>
          <w:p w14:paraId="199E26A7">
            <w:pPr>
              <w:pStyle w:val="23"/>
              <w:jc w:val="center"/>
              <w:rPr>
                <w:rFonts w:hint="default"/>
              </w:rPr>
            </w:pPr>
            <w:bookmarkStart w:id="0" w:name="_Hlk49843745"/>
            <w:r>
              <w:rPr>
                <w:rFonts w:hint="default"/>
              </w:rPr>
              <w:t>建设项目</w:t>
            </w:r>
          </w:p>
          <w:p w14:paraId="04AF42AF">
            <w:pPr>
              <w:pStyle w:val="23"/>
              <w:jc w:val="center"/>
              <w:rPr>
                <w:rFonts w:hint="default"/>
              </w:rPr>
            </w:pPr>
            <w:r>
              <w:rPr>
                <w:rFonts w:hint="default"/>
              </w:rPr>
              <w:t>行业类别</w:t>
            </w:r>
            <w:bookmarkEnd w:id="0"/>
          </w:p>
        </w:tc>
        <w:tc>
          <w:tcPr>
            <w:tcW w:w="2639" w:type="dxa"/>
            <w:vAlign w:val="center"/>
          </w:tcPr>
          <w:p w14:paraId="331C9F52">
            <w:pPr>
              <w:pStyle w:val="23"/>
              <w:jc w:val="left"/>
              <w:rPr>
                <w:rFonts w:hint="default" w:eastAsia="宋体"/>
                <w:lang w:val="en-US" w:eastAsia="zh-CN"/>
              </w:rPr>
            </w:pPr>
            <w:r>
              <w:rPr>
                <w:rFonts w:hint="default" w:eastAsia="宋体"/>
                <w:lang w:val="en-US" w:eastAsia="zh-CN"/>
              </w:rPr>
              <w:t>十八、家具制造业：21 木</w:t>
            </w:r>
          </w:p>
          <w:p w14:paraId="2D14D123">
            <w:pPr>
              <w:pStyle w:val="23"/>
              <w:jc w:val="left"/>
              <w:rPr>
                <w:rFonts w:hint="default" w:eastAsia="宋体"/>
                <w:lang w:val="en-US" w:eastAsia="zh-CN"/>
              </w:rPr>
            </w:pPr>
            <w:r>
              <w:rPr>
                <w:rFonts w:hint="default" w:eastAsia="宋体"/>
                <w:lang w:val="en-US" w:eastAsia="zh-CN"/>
              </w:rPr>
              <w:t>质家具制造</w:t>
            </w:r>
          </w:p>
        </w:tc>
      </w:tr>
      <w:tr w14:paraId="4ED6E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07" w:type="dxa"/>
            <w:tcMar>
              <w:top w:w="16" w:type="dxa"/>
              <w:left w:w="16" w:type="dxa"/>
              <w:right w:w="16" w:type="dxa"/>
            </w:tcMar>
            <w:vAlign w:val="center"/>
          </w:tcPr>
          <w:p w14:paraId="34D66EE1">
            <w:pPr>
              <w:pStyle w:val="23"/>
              <w:jc w:val="center"/>
              <w:rPr>
                <w:rFonts w:hint="default"/>
              </w:rPr>
            </w:pPr>
            <w:r>
              <w:rPr>
                <w:rFonts w:hint="default"/>
              </w:rPr>
              <w:t>建设性质</w:t>
            </w:r>
          </w:p>
        </w:tc>
        <w:tc>
          <w:tcPr>
            <w:tcW w:w="2364" w:type="dxa"/>
            <w:vAlign w:val="center"/>
          </w:tcPr>
          <w:p w14:paraId="089C8C27">
            <w:pPr>
              <w:pStyle w:val="23"/>
              <w:jc w:val="both"/>
              <w:rPr>
                <w:rFonts w:hint="default"/>
              </w:rPr>
            </w:pPr>
            <w:r>
              <w:rPr>
                <w:rFonts w:hint="default"/>
              </w:rPr>
              <w:sym w:font="Wingdings 2" w:char="0052"/>
            </w:r>
            <w:r>
              <w:rPr>
                <w:rFonts w:hint="default"/>
              </w:rPr>
              <w:t>新建（迁建）</w:t>
            </w:r>
          </w:p>
          <w:p w14:paraId="3C873DEA">
            <w:pPr>
              <w:pStyle w:val="23"/>
              <w:jc w:val="both"/>
              <w:rPr>
                <w:rFonts w:hint="default"/>
              </w:rPr>
            </w:pPr>
            <w:r>
              <w:rPr>
                <w:rFonts w:hint="default"/>
              </w:rPr>
              <w:sym w:font="Wingdings 2" w:char="00A3"/>
            </w:r>
            <w:r>
              <w:rPr>
                <w:rFonts w:hint="default"/>
              </w:rPr>
              <w:t>改建</w:t>
            </w:r>
          </w:p>
          <w:p w14:paraId="4AD647D3">
            <w:pPr>
              <w:pStyle w:val="23"/>
              <w:jc w:val="both"/>
              <w:rPr>
                <w:rFonts w:hint="default"/>
              </w:rPr>
            </w:pPr>
            <w:r>
              <w:rPr>
                <w:rFonts w:hint="default"/>
              </w:rPr>
              <w:sym w:font="Wingdings 2" w:char="00A3"/>
            </w:r>
            <w:r>
              <w:rPr>
                <w:rFonts w:hint="default"/>
              </w:rPr>
              <w:t>扩建</w:t>
            </w:r>
          </w:p>
          <w:p w14:paraId="7AFB4DD7">
            <w:pPr>
              <w:pStyle w:val="23"/>
              <w:jc w:val="both"/>
              <w:rPr>
                <w:rFonts w:hint="default"/>
              </w:rPr>
            </w:pPr>
            <w:r>
              <w:rPr>
                <w:rFonts w:hint="default"/>
              </w:rPr>
              <w:sym w:font="Wingdings 2" w:char="00A3"/>
            </w:r>
            <w:r>
              <w:rPr>
                <w:rFonts w:hint="default"/>
              </w:rPr>
              <w:t>技术改造</w:t>
            </w:r>
          </w:p>
        </w:tc>
        <w:tc>
          <w:tcPr>
            <w:tcW w:w="2212" w:type="dxa"/>
            <w:vAlign w:val="center"/>
          </w:tcPr>
          <w:p w14:paraId="1BF79DD4">
            <w:pPr>
              <w:pStyle w:val="23"/>
              <w:jc w:val="center"/>
              <w:rPr>
                <w:rFonts w:hint="default"/>
              </w:rPr>
            </w:pPr>
            <w:r>
              <w:rPr>
                <w:rFonts w:hint="default"/>
              </w:rPr>
              <w:t>建设项目</w:t>
            </w:r>
          </w:p>
          <w:p w14:paraId="60162B8A">
            <w:pPr>
              <w:pStyle w:val="23"/>
              <w:jc w:val="center"/>
              <w:rPr>
                <w:rFonts w:hint="default"/>
              </w:rPr>
            </w:pPr>
            <w:r>
              <w:rPr>
                <w:rFonts w:hint="default"/>
              </w:rPr>
              <w:t>申报情形</w:t>
            </w:r>
          </w:p>
        </w:tc>
        <w:tc>
          <w:tcPr>
            <w:tcW w:w="2639" w:type="dxa"/>
            <w:vAlign w:val="center"/>
          </w:tcPr>
          <w:p w14:paraId="3E5573A4">
            <w:pPr>
              <w:pStyle w:val="23"/>
              <w:jc w:val="both"/>
              <w:rPr>
                <w:rFonts w:hint="default"/>
              </w:rPr>
            </w:pPr>
            <w:r>
              <w:rPr>
                <w:rFonts w:hint="default"/>
              </w:rPr>
              <w:sym w:font="Wingdings 2" w:char="0052"/>
            </w:r>
            <w:r>
              <w:rPr>
                <w:rFonts w:hint="default"/>
              </w:rPr>
              <w:t>首次申报项目</w:t>
            </w:r>
          </w:p>
          <w:p w14:paraId="4525B840">
            <w:pPr>
              <w:pStyle w:val="23"/>
              <w:jc w:val="both"/>
              <w:rPr>
                <w:rFonts w:hint="default"/>
              </w:rPr>
            </w:pPr>
            <w:r>
              <w:rPr>
                <w:rFonts w:hint="default"/>
              </w:rPr>
              <w:sym w:font="Wingdings 2" w:char="00A3"/>
            </w:r>
            <w:r>
              <w:rPr>
                <w:rFonts w:hint="default"/>
              </w:rPr>
              <w:t>不予批准后再次申报项目</w:t>
            </w:r>
          </w:p>
          <w:p w14:paraId="33E8DFC4">
            <w:pPr>
              <w:pStyle w:val="23"/>
              <w:jc w:val="both"/>
              <w:rPr>
                <w:rFonts w:hint="default"/>
              </w:rPr>
            </w:pPr>
            <w:r>
              <w:rPr>
                <w:rFonts w:hint="default"/>
              </w:rPr>
              <w:sym w:font="Wingdings 2" w:char="00A3"/>
            </w:r>
            <w:r>
              <w:rPr>
                <w:rFonts w:hint="default"/>
              </w:rPr>
              <w:t>超五年重新审核项目</w:t>
            </w:r>
          </w:p>
          <w:p w14:paraId="4726A7EF">
            <w:pPr>
              <w:pStyle w:val="23"/>
              <w:jc w:val="both"/>
              <w:rPr>
                <w:rFonts w:hint="default"/>
              </w:rPr>
            </w:pPr>
            <w:r>
              <w:rPr>
                <w:rFonts w:hint="default"/>
              </w:rPr>
              <w:sym w:font="Wingdings 2" w:char="00A3"/>
            </w:r>
            <w:r>
              <w:rPr>
                <w:rFonts w:hint="default"/>
              </w:rPr>
              <w:t>重大变动重新报批项目</w:t>
            </w:r>
          </w:p>
        </w:tc>
      </w:tr>
      <w:tr w14:paraId="5EB3C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07" w:type="dxa"/>
            <w:tcMar>
              <w:top w:w="16" w:type="dxa"/>
              <w:left w:w="16" w:type="dxa"/>
              <w:right w:w="16" w:type="dxa"/>
            </w:tcMar>
            <w:vAlign w:val="center"/>
          </w:tcPr>
          <w:p w14:paraId="74D4BA52">
            <w:pPr>
              <w:pStyle w:val="23"/>
              <w:jc w:val="center"/>
              <w:rPr>
                <w:rFonts w:hint="default"/>
              </w:rPr>
            </w:pPr>
            <w:r>
              <w:rPr>
                <w:rFonts w:hint="default"/>
              </w:rPr>
              <w:t>项目审批（核准/</w:t>
            </w:r>
          </w:p>
          <w:p w14:paraId="55402D93">
            <w:pPr>
              <w:pStyle w:val="23"/>
              <w:jc w:val="center"/>
              <w:rPr>
                <w:rFonts w:hint="default"/>
              </w:rPr>
            </w:pPr>
            <w:r>
              <w:rPr>
                <w:rFonts w:hint="default"/>
              </w:rPr>
              <w:t>备案）部门（选填）</w:t>
            </w:r>
          </w:p>
        </w:tc>
        <w:tc>
          <w:tcPr>
            <w:tcW w:w="2364" w:type="dxa"/>
            <w:vAlign w:val="center"/>
          </w:tcPr>
          <w:p w14:paraId="61A73F2B">
            <w:pPr>
              <w:pStyle w:val="23"/>
              <w:jc w:val="center"/>
              <w:rPr>
                <w:rFonts w:hint="default"/>
                <w:lang w:val="en-US" w:eastAsia="zh-CN"/>
              </w:rPr>
            </w:pPr>
            <w:r>
              <w:rPr>
                <w:rFonts w:hint="default"/>
                <w:lang w:val="en-US" w:eastAsia="zh-CN"/>
              </w:rPr>
              <w:t>/</w:t>
            </w:r>
          </w:p>
        </w:tc>
        <w:tc>
          <w:tcPr>
            <w:tcW w:w="2212" w:type="dxa"/>
            <w:vAlign w:val="center"/>
          </w:tcPr>
          <w:p w14:paraId="0307E67E">
            <w:pPr>
              <w:pStyle w:val="23"/>
              <w:jc w:val="center"/>
              <w:rPr>
                <w:rFonts w:hint="default"/>
              </w:rPr>
            </w:pPr>
            <w:r>
              <w:rPr>
                <w:rFonts w:hint="default"/>
              </w:rPr>
              <w:t>项目审批（核准/</w:t>
            </w:r>
          </w:p>
          <w:p w14:paraId="6C66BF29">
            <w:pPr>
              <w:pStyle w:val="23"/>
              <w:jc w:val="center"/>
              <w:rPr>
                <w:rFonts w:hint="default"/>
              </w:rPr>
            </w:pPr>
            <w:r>
              <w:rPr>
                <w:rFonts w:hint="default"/>
              </w:rPr>
              <w:t>备案）文号（选填）</w:t>
            </w:r>
          </w:p>
        </w:tc>
        <w:tc>
          <w:tcPr>
            <w:tcW w:w="2639" w:type="dxa"/>
            <w:vAlign w:val="center"/>
          </w:tcPr>
          <w:p w14:paraId="19420467">
            <w:pPr>
              <w:pStyle w:val="23"/>
              <w:jc w:val="center"/>
              <w:rPr>
                <w:rFonts w:hint="default"/>
                <w:lang w:val="en-US" w:eastAsia="zh-CN"/>
              </w:rPr>
            </w:pPr>
            <w:r>
              <w:rPr>
                <w:rFonts w:hint="default"/>
                <w:lang w:val="en-US" w:eastAsia="zh-CN"/>
              </w:rPr>
              <w:t>/</w:t>
            </w:r>
          </w:p>
        </w:tc>
      </w:tr>
      <w:tr w14:paraId="3BE14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03EB25D9">
            <w:pPr>
              <w:pStyle w:val="23"/>
              <w:jc w:val="center"/>
              <w:rPr>
                <w:rFonts w:hint="default"/>
              </w:rPr>
            </w:pPr>
            <w:r>
              <w:rPr>
                <w:rFonts w:hint="default"/>
              </w:rPr>
              <w:t>总投资（万元）</w:t>
            </w:r>
          </w:p>
        </w:tc>
        <w:tc>
          <w:tcPr>
            <w:tcW w:w="2364" w:type="dxa"/>
            <w:vAlign w:val="center"/>
          </w:tcPr>
          <w:p w14:paraId="5B283823">
            <w:pPr>
              <w:pStyle w:val="23"/>
              <w:jc w:val="center"/>
              <w:rPr>
                <w:rFonts w:hint="default"/>
                <w:lang w:val="en-US" w:eastAsia="zh-CN"/>
              </w:rPr>
            </w:pPr>
            <w:r>
              <w:rPr>
                <w:rFonts w:hint="eastAsia"/>
                <w:lang w:val="en-US" w:eastAsia="zh-CN"/>
              </w:rPr>
              <w:t>30</w:t>
            </w:r>
          </w:p>
        </w:tc>
        <w:tc>
          <w:tcPr>
            <w:tcW w:w="2212" w:type="dxa"/>
            <w:tcMar>
              <w:top w:w="16" w:type="dxa"/>
              <w:left w:w="16" w:type="dxa"/>
              <w:right w:w="16" w:type="dxa"/>
            </w:tcMar>
            <w:vAlign w:val="center"/>
          </w:tcPr>
          <w:p w14:paraId="7CDCD7F1">
            <w:pPr>
              <w:pStyle w:val="23"/>
              <w:jc w:val="center"/>
              <w:rPr>
                <w:rFonts w:hint="default"/>
              </w:rPr>
            </w:pPr>
            <w:r>
              <w:rPr>
                <w:rFonts w:hint="default"/>
              </w:rPr>
              <w:t>环保投资（万元）</w:t>
            </w:r>
          </w:p>
        </w:tc>
        <w:tc>
          <w:tcPr>
            <w:tcW w:w="2639" w:type="dxa"/>
            <w:vAlign w:val="center"/>
          </w:tcPr>
          <w:p w14:paraId="458A4891">
            <w:pPr>
              <w:pStyle w:val="23"/>
              <w:jc w:val="center"/>
              <w:rPr>
                <w:rFonts w:hint="default"/>
                <w:lang w:val="en-US" w:eastAsia="zh-CN"/>
              </w:rPr>
            </w:pPr>
            <w:r>
              <w:rPr>
                <w:rFonts w:hint="eastAsia"/>
                <w:lang w:val="en-US" w:eastAsia="zh-CN"/>
              </w:rPr>
              <w:t>10</w:t>
            </w:r>
          </w:p>
        </w:tc>
      </w:tr>
      <w:tr w14:paraId="5565B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267E4C90">
            <w:pPr>
              <w:pStyle w:val="23"/>
              <w:jc w:val="center"/>
              <w:rPr>
                <w:rFonts w:hint="default"/>
              </w:rPr>
            </w:pPr>
            <w:r>
              <w:rPr>
                <w:rFonts w:hint="default"/>
              </w:rPr>
              <w:t>环保投资占比（%）</w:t>
            </w:r>
          </w:p>
        </w:tc>
        <w:tc>
          <w:tcPr>
            <w:tcW w:w="2364" w:type="dxa"/>
            <w:vAlign w:val="center"/>
          </w:tcPr>
          <w:p w14:paraId="3E3A4A2E">
            <w:pPr>
              <w:pStyle w:val="23"/>
              <w:jc w:val="center"/>
              <w:rPr>
                <w:rFonts w:hint="default"/>
                <w:lang w:val="en-US" w:eastAsia="zh-CN"/>
              </w:rPr>
            </w:pPr>
            <w:r>
              <w:rPr>
                <w:rFonts w:hint="eastAsia"/>
                <w:lang w:val="en-US" w:eastAsia="zh-CN"/>
              </w:rPr>
              <w:t>33.33</w:t>
            </w:r>
          </w:p>
        </w:tc>
        <w:tc>
          <w:tcPr>
            <w:tcW w:w="2212" w:type="dxa"/>
            <w:tcMar>
              <w:top w:w="16" w:type="dxa"/>
              <w:left w:w="16" w:type="dxa"/>
              <w:right w:w="16" w:type="dxa"/>
            </w:tcMar>
            <w:vAlign w:val="center"/>
          </w:tcPr>
          <w:p w14:paraId="7E1E35E6">
            <w:pPr>
              <w:pStyle w:val="23"/>
              <w:jc w:val="center"/>
              <w:rPr>
                <w:rFonts w:hint="default"/>
              </w:rPr>
            </w:pPr>
            <w:r>
              <w:rPr>
                <w:rFonts w:hint="default"/>
              </w:rPr>
              <w:t>施工工期</w:t>
            </w:r>
          </w:p>
        </w:tc>
        <w:tc>
          <w:tcPr>
            <w:tcW w:w="2639" w:type="dxa"/>
            <w:vAlign w:val="center"/>
          </w:tcPr>
          <w:p w14:paraId="3B0E7FE7">
            <w:pPr>
              <w:pStyle w:val="23"/>
              <w:jc w:val="center"/>
              <w:rPr>
                <w:rFonts w:hint="default"/>
                <w:lang w:val="en-US" w:eastAsia="zh-CN"/>
              </w:rPr>
            </w:pPr>
            <w:r>
              <w:rPr>
                <w:rFonts w:hint="eastAsia"/>
                <w:lang w:val="en-US" w:eastAsia="zh-CN"/>
              </w:rPr>
              <w:t>2</w:t>
            </w:r>
            <w:r>
              <w:rPr>
                <w:rFonts w:hint="default"/>
                <w:lang w:val="en-US" w:eastAsia="zh-CN"/>
              </w:rPr>
              <w:t>个月</w:t>
            </w:r>
          </w:p>
        </w:tc>
      </w:tr>
      <w:tr w14:paraId="7CFD0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7" w:type="dxa"/>
            <w:tcMar>
              <w:top w:w="16" w:type="dxa"/>
              <w:left w:w="16" w:type="dxa"/>
              <w:right w:w="16" w:type="dxa"/>
            </w:tcMar>
            <w:vAlign w:val="center"/>
          </w:tcPr>
          <w:p w14:paraId="36691B29">
            <w:pPr>
              <w:pStyle w:val="23"/>
              <w:jc w:val="center"/>
              <w:rPr>
                <w:rFonts w:hint="default"/>
              </w:rPr>
            </w:pPr>
            <w:r>
              <w:rPr>
                <w:rFonts w:hint="default"/>
              </w:rPr>
              <w:t>是否开工建设</w:t>
            </w:r>
          </w:p>
        </w:tc>
        <w:tc>
          <w:tcPr>
            <w:tcW w:w="2364" w:type="dxa"/>
            <w:vAlign w:val="center"/>
          </w:tcPr>
          <w:p w14:paraId="404213F6">
            <w:pPr>
              <w:pStyle w:val="23"/>
              <w:jc w:val="both"/>
              <w:rPr>
                <w:rFonts w:hint="default"/>
              </w:rPr>
            </w:pPr>
            <w:r>
              <w:rPr>
                <w:rFonts w:hint="default"/>
              </w:rPr>
              <w:sym w:font="Wingdings 2" w:char="0052"/>
            </w:r>
            <w:r>
              <w:rPr>
                <w:rFonts w:hint="default"/>
              </w:rPr>
              <w:t>否</w:t>
            </w:r>
          </w:p>
          <w:p w14:paraId="7C0183B2">
            <w:pPr>
              <w:pStyle w:val="23"/>
              <w:jc w:val="both"/>
              <w:rPr>
                <w:rFonts w:hint="default" w:eastAsia="宋体"/>
                <w:lang w:val="en-US" w:eastAsia="zh-CN"/>
              </w:rPr>
            </w:pPr>
            <w:r>
              <w:rPr>
                <w:rFonts w:hint="default"/>
              </w:rPr>
              <w:sym w:font="Wingdings 2" w:char="00A3"/>
            </w:r>
            <w:r>
              <w:rPr>
                <w:rFonts w:hint="default"/>
              </w:rPr>
              <w:t>是：</w:t>
            </w:r>
            <w:r>
              <w:rPr>
                <w:rFonts w:hint="eastAsia"/>
                <w:lang w:val="en-US" w:eastAsia="zh-CN"/>
              </w:rPr>
              <w:t>__________</w:t>
            </w:r>
          </w:p>
        </w:tc>
        <w:tc>
          <w:tcPr>
            <w:tcW w:w="2212" w:type="dxa"/>
            <w:tcMar>
              <w:top w:w="16" w:type="dxa"/>
              <w:left w:w="16" w:type="dxa"/>
              <w:right w:w="16" w:type="dxa"/>
            </w:tcMar>
            <w:vAlign w:val="center"/>
          </w:tcPr>
          <w:p w14:paraId="01F65E47">
            <w:pPr>
              <w:pStyle w:val="23"/>
              <w:jc w:val="center"/>
              <w:rPr>
                <w:rFonts w:hint="default"/>
              </w:rPr>
            </w:pPr>
            <w:r>
              <w:rPr>
                <w:rFonts w:hint="default"/>
              </w:rPr>
              <w:t>用地（用海）</w:t>
            </w:r>
          </w:p>
          <w:p w14:paraId="13B658B6">
            <w:pPr>
              <w:pStyle w:val="23"/>
              <w:jc w:val="center"/>
              <w:rPr>
                <w:rFonts w:hint="default"/>
              </w:rPr>
            </w:pPr>
            <w:r>
              <w:rPr>
                <w:rFonts w:hint="default"/>
              </w:rPr>
              <w:t>面积（m</w:t>
            </w:r>
            <w:r>
              <w:rPr>
                <w:rFonts w:hint="default"/>
                <w:vertAlign w:val="superscript"/>
              </w:rPr>
              <w:t>2</w:t>
            </w:r>
            <w:r>
              <w:rPr>
                <w:rFonts w:hint="default"/>
              </w:rPr>
              <w:t>）</w:t>
            </w:r>
          </w:p>
        </w:tc>
        <w:tc>
          <w:tcPr>
            <w:tcW w:w="2639" w:type="dxa"/>
            <w:vAlign w:val="center"/>
          </w:tcPr>
          <w:p w14:paraId="433C14E3">
            <w:pPr>
              <w:pStyle w:val="23"/>
              <w:jc w:val="center"/>
              <w:rPr>
                <w:rFonts w:hint="default"/>
                <w:lang w:val="en-US" w:eastAsia="zh-CN"/>
              </w:rPr>
            </w:pPr>
            <w:r>
              <w:rPr>
                <w:rFonts w:hint="eastAsia"/>
                <w:highlight w:val="none"/>
                <w:lang w:val="en-US" w:eastAsia="zh-CN"/>
              </w:rPr>
              <w:t>6304</w:t>
            </w:r>
          </w:p>
        </w:tc>
      </w:tr>
      <w:tr w14:paraId="04523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07" w:type="dxa"/>
            <w:vAlign w:val="center"/>
          </w:tcPr>
          <w:p w14:paraId="53CB6A9F">
            <w:pPr>
              <w:pStyle w:val="23"/>
              <w:jc w:val="center"/>
              <w:rPr>
                <w:rFonts w:hint="default"/>
              </w:rPr>
            </w:pPr>
            <w:r>
              <w:rPr>
                <w:rFonts w:hint="default"/>
              </w:rPr>
              <w:t>专项评价设置情况</w:t>
            </w:r>
          </w:p>
        </w:tc>
        <w:tc>
          <w:tcPr>
            <w:tcW w:w="7215" w:type="dxa"/>
            <w:gridSpan w:val="3"/>
            <w:vAlign w:val="center"/>
          </w:tcPr>
          <w:p w14:paraId="25510051">
            <w:pPr>
              <w:pStyle w:val="23"/>
              <w:spacing w:line="360" w:lineRule="auto"/>
              <w:jc w:val="center"/>
              <w:rPr>
                <w:rFonts w:hint="default"/>
                <w:lang w:val="en-US" w:eastAsia="zh-CN"/>
              </w:rPr>
            </w:pPr>
            <w:r>
              <w:rPr>
                <w:rFonts w:hint="eastAsia"/>
                <w:lang w:val="en-US" w:eastAsia="zh-CN"/>
              </w:rPr>
              <w:t>无</w:t>
            </w:r>
          </w:p>
        </w:tc>
      </w:tr>
      <w:tr w14:paraId="698D9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907" w:type="dxa"/>
            <w:vAlign w:val="center"/>
          </w:tcPr>
          <w:p w14:paraId="09FD6910">
            <w:pPr>
              <w:pStyle w:val="23"/>
              <w:jc w:val="center"/>
              <w:rPr>
                <w:rFonts w:hint="eastAsia" w:eastAsia="宋体"/>
                <w:lang w:val="en-US" w:eastAsia="zh-CN"/>
              </w:rPr>
            </w:pPr>
            <w:r>
              <w:rPr>
                <w:rFonts w:hint="eastAsia"/>
                <w:lang w:val="en-US" w:eastAsia="zh-CN"/>
              </w:rPr>
              <w:t>规划情况</w:t>
            </w:r>
          </w:p>
        </w:tc>
        <w:tc>
          <w:tcPr>
            <w:tcW w:w="7215" w:type="dxa"/>
            <w:gridSpan w:val="3"/>
            <w:vAlign w:val="center"/>
          </w:tcPr>
          <w:p w14:paraId="57A2657C">
            <w:pPr>
              <w:pStyle w:val="23"/>
              <w:spacing w:line="360" w:lineRule="auto"/>
              <w:jc w:val="left"/>
              <w:rPr>
                <w:rFonts w:hint="eastAsia"/>
                <w:lang w:val="en-US" w:eastAsia="zh-CN"/>
              </w:rPr>
            </w:pPr>
            <w:r>
              <w:rPr>
                <w:rFonts w:hint="eastAsia"/>
                <w:lang w:val="en-US" w:eastAsia="zh-CN"/>
              </w:rPr>
              <w:t>规划名称：《莆田市秀屿木材加工区总体规划方案（修编）的请示》</w:t>
            </w:r>
          </w:p>
          <w:p w14:paraId="70FFF8A0">
            <w:pPr>
              <w:pStyle w:val="23"/>
              <w:spacing w:line="360" w:lineRule="auto"/>
              <w:jc w:val="left"/>
              <w:rPr>
                <w:rFonts w:hint="eastAsia"/>
                <w:lang w:val="en-US" w:eastAsia="zh-CN"/>
              </w:rPr>
            </w:pPr>
            <w:r>
              <w:rPr>
                <w:rFonts w:hint="eastAsia"/>
                <w:lang w:val="en-US" w:eastAsia="zh-CN"/>
              </w:rPr>
              <w:t>审批机关：莆田市人民政府</w:t>
            </w:r>
          </w:p>
          <w:p w14:paraId="30ED450A">
            <w:pPr>
              <w:spacing w:line="360" w:lineRule="auto"/>
              <w:ind w:left="0" w:leftChars="0" w:firstLine="0" w:firstLineChars="0"/>
              <w:rPr>
                <w:rFonts w:hint="default"/>
                <w:lang w:val="en-US" w:eastAsia="zh-CN"/>
              </w:rPr>
            </w:pPr>
            <w:r>
              <w:rPr>
                <w:rFonts w:hint="eastAsia"/>
                <w:lang w:val="en-US" w:eastAsia="zh-CN"/>
              </w:rPr>
              <w:t>审批文件及文号：《莆田市人民政府关于秀屿木材加工区总体规划（修编）的批复》（莆政综</w:t>
            </w:r>
            <w:r>
              <w:rPr>
                <w:rFonts w:hint="default" w:ascii="Times New Roman" w:hAnsi="Times New Roman" w:eastAsia="宋体" w:cs="Times New Roman"/>
                <w:lang w:val="en-US" w:eastAsia="zh-CN"/>
              </w:rPr>
              <w:t>〔2014〕108</w:t>
            </w:r>
            <w:r>
              <w:rPr>
                <w:rFonts w:hint="eastAsia" w:ascii="Times New Roman" w:hAnsi="Times New Roman" w:eastAsia="宋体" w:cs="Times New Roman"/>
                <w:lang w:val="en-US" w:eastAsia="zh-CN"/>
              </w:rPr>
              <w:t>号</w:t>
            </w:r>
            <w:r>
              <w:rPr>
                <w:rFonts w:hint="eastAsia"/>
                <w:lang w:val="en-US" w:eastAsia="zh-CN"/>
              </w:rPr>
              <w:t>）</w:t>
            </w:r>
          </w:p>
        </w:tc>
      </w:tr>
      <w:tr w14:paraId="5556E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07" w:type="dxa"/>
            <w:vAlign w:val="center"/>
          </w:tcPr>
          <w:p w14:paraId="48CB1D93">
            <w:pPr>
              <w:pStyle w:val="23"/>
              <w:jc w:val="center"/>
              <w:rPr>
                <w:rFonts w:hint="default"/>
                <w:lang w:val="en-US" w:eastAsia="zh-CN"/>
              </w:rPr>
            </w:pPr>
            <w:r>
              <w:rPr>
                <w:rFonts w:hint="eastAsia"/>
                <w:lang w:val="en-US" w:eastAsia="zh-CN"/>
              </w:rPr>
              <w:t>规划环境影响评价情况</w:t>
            </w:r>
          </w:p>
        </w:tc>
        <w:tc>
          <w:tcPr>
            <w:tcW w:w="7215" w:type="dxa"/>
            <w:gridSpan w:val="3"/>
            <w:vAlign w:val="center"/>
          </w:tcPr>
          <w:p w14:paraId="69DF3A4B">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lang w:val="en-US" w:eastAsia="zh-CN"/>
              </w:rPr>
            </w:pPr>
            <w:r>
              <w:rPr>
                <w:rFonts w:hint="eastAsia"/>
                <w:lang w:val="en-US" w:eastAsia="zh-CN"/>
              </w:rPr>
              <w:t>规划环境影响评价文件名称：《莆田市秀屿木材加工区总体规划（修编）环境影响报告书》</w:t>
            </w:r>
          </w:p>
          <w:p w14:paraId="3F35D72F">
            <w:pPr>
              <w:pStyle w:val="15"/>
              <w:keepNext w:val="0"/>
              <w:keepLines w:val="0"/>
              <w:pageBreakBefore w:val="0"/>
              <w:kinsoku/>
              <w:wordWrap/>
              <w:overflowPunct/>
              <w:topLinePunct w:val="0"/>
              <w:autoSpaceDE/>
              <w:autoSpaceDN/>
              <w:bidi w:val="0"/>
              <w:spacing w:beforeLines="0" w:line="360" w:lineRule="auto"/>
              <w:ind w:left="0" w:leftChars="0" w:firstLine="0" w:firstLineChars="0"/>
              <w:textAlignment w:val="auto"/>
              <w:rPr>
                <w:rFonts w:hint="eastAsia"/>
                <w:lang w:val="en-US" w:eastAsia="zh-CN"/>
              </w:rPr>
            </w:pPr>
            <w:r>
              <w:rPr>
                <w:rFonts w:hint="eastAsia"/>
                <w:lang w:val="en-US" w:eastAsia="zh-CN"/>
              </w:rPr>
              <w:t>审查机关：莆田市生态环境局</w:t>
            </w:r>
          </w:p>
          <w:p w14:paraId="01F5C8B4">
            <w:pPr>
              <w:pStyle w:val="23"/>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default"/>
                <w:lang w:val="en-US" w:eastAsia="zh-CN"/>
              </w:rPr>
            </w:pPr>
            <w:r>
              <w:rPr>
                <w:rFonts w:hint="eastAsia"/>
                <w:lang w:val="en-US" w:eastAsia="zh-CN"/>
              </w:rPr>
              <w:t>审查文件及文号：《莆田市秀屿木材加工区总体规划（修编）环境影响报告书审查小组的意见通知》（莆环保规评</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2017</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2号</w:t>
            </w:r>
            <w:r>
              <w:rPr>
                <w:rFonts w:hint="eastAsia"/>
                <w:lang w:val="en-US" w:eastAsia="zh-CN"/>
              </w:rPr>
              <w:t>）</w:t>
            </w:r>
          </w:p>
        </w:tc>
      </w:tr>
      <w:tr w14:paraId="50A27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7" w:type="dxa"/>
            <w:vAlign w:val="center"/>
          </w:tcPr>
          <w:p w14:paraId="7CF38D42">
            <w:pPr>
              <w:pStyle w:val="2"/>
              <w:jc w:val="center"/>
              <w:rPr>
                <w:rFonts w:hint="default"/>
              </w:rPr>
            </w:pPr>
            <w:r>
              <w:rPr>
                <w:rFonts w:hint="default"/>
              </w:rPr>
              <w:t>规划及规划环境</w:t>
            </w:r>
          </w:p>
          <w:p w14:paraId="1B8C6C9E">
            <w:pPr>
              <w:pStyle w:val="23"/>
              <w:jc w:val="center"/>
              <w:rPr>
                <w:rFonts w:hint="eastAsia"/>
                <w:lang w:val="en-US" w:eastAsia="zh-CN"/>
              </w:rPr>
            </w:pPr>
            <w:r>
              <w:rPr>
                <w:rFonts w:hint="default"/>
              </w:rPr>
              <w:t>影响评价符合性分析</w:t>
            </w:r>
          </w:p>
        </w:tc>
        <w:tc>
          <w:tcPr>
            <w:tcW w:w="7215" w:type="dxa"/>
            <w:gridSpan w:val="3"/>
            <w:vAlign w:val="center"/>
          </w:tcPr>
          <w:p w14:paraId="6E68DF21">
            <w:pPr>
              <w:pStyle w:val="23"/>
              <w:widowControl/>
              <w:numPr>
                <w:ilvl w:val="0"/>
                <w:numId w:val="0"/>
              </w:numPr>
              <w:wordWrap/>
              <w:adjustRightInd w:val="0"/>
              <w:snapToGrid w:val="0"/>
              <w:spacing w:line="360" w:lineRule="auto"/>
              <w:jc w:val="left"/>
              <w:textAlignment w:val="auto"/>
              <w:rPr>
                <w:rFonts w:hint="eastAsia"/>
                <w:lang w:val="en-US" w:eastAsia="zh-CN"/>
              </w:rPr>
            </w:pPr>
            <w:r>
              <w:rPr>
                <w:rFonts w:hint="eastAsia"/>
                <w:lang w:val="en-US" w:eastAsia="zh-CN"/>
              </w:rPr>
              <w:t>1、用地符合性分析</w:t>
            </w:r>
          </w:p>
          <w:p w14:paraId="3555E607">
            <w:pPr>
              <w:widowControl w:val="0"/>
              <w:wordWrap/>
              <w:adjustRightInd w:val="0"/>
              <w:snapToGrid w:val="0"/>
              <w:spacing w:line="360" w:lineRule="auto"/>
              <w:ind w:left="0" w:leftChars="0" w:firstLine="420" w:firstLineChars="200"/>
              <w:jc w:val="left"/>
              <w:textAlignment w:val="auto"/>
              <w:rPr>
                <w:rFonts w:hint="eastAsia"/>
                <w:lang w:val="en-US" w:eastAsia="zh-CN"/>
              </w:rPr>
            </w:pPr>
            <w:r>
              <w:rPr>
                <w:rFonts w:hint="eastAsia"/>
                <w:lang w:val="en-US" w:eastAsia="zh-CN"/>
              </w:rPr>
              <w:t>本项目为新建项目，选址于莆田市秀屿区东桥镇前沁村前沁1133号，位于莆田市秀屿木材加工区内，租赁现有厂房进行生产，不新增用地，根据《莆田市秀屿木材加工区总体规划方案（修编）》，项目所在用地属于工业用地，符合园区用地规划要求</w:t>
            </w:r>
          </w:p>
          <w:p w14:paraId="16744107">
            <w:pPr>
              <w:pStyle w:val="16"/>
              <w:ind w:left="0" w:leftChars="0" w:firstLine="0" w:firstLineChars="0"/>
              <w:rPr>
                <w:rFonts w:hint="default"/>
                <w:lang w:val="en-US" w:eastAsia="zh-CN"/>
              </w:rPr>
            </w:pPr>
            <w:r>
              <w:rPr>
                <w:rFonts w:hint="eastAsia"/>
                <w:lang w:val="en-US" w:eastAsia="zh-CN"/>
              </w:rPr>
              <w:t>2、园区规划符合性分析</w:t>
            </w:r>
          </w:p>
          <w:p w14:paraId="64F99719">
            <w:pPr>
              <w:widowControl w:val="0"/>
              <w:wordWrap/>
              <w:adjustRightInd w:val="0"/>
              <w:snapToGrid w:val="0"/>
              <w:spacing w:line="360" w:lineRule="auto"/>
              <w:ind w:left="0" w:leftChars="0" w:firstLine="420" w:firstLineChars="200"/>
              <w:jc w:val="left"/>
              <w:textAlignment w:val="auto"/>
              <w:rPr>
                <w:rFonts w:hint="default"/>
                <w:lang w:val="en-US" w:eastAsia="zh-CN"/>
              </w:rPr>
            </w:pPr>
            <w:r>
              <w:t>根据《莆田市秀屿木材加工区总体规划（修编）环境影响报告书》</w:t>
            </w:r>
            <w:r>
              <w:rPr>
                <w:rFonts w:hint="eastAsia"/>
                <w:lang w:val="en-US" w:eastAsia="zh-CN"/>
              </w:rPr>
              <w:t>，</w:t>
            </w:r>
            <w:r>
              <w:t>秀屿木材加工区规划产业定位为以木材加工、展销、贸易为龙头，兼顾五金机械、纺织产品等相关产业，打造产业集聚强劲、配套设施完善、生态环境优美的，专业化、环保型的国家级木材加工产业园区。</w:t>
            </w:r>
            <w:r>
              <w:rPr>
                <w:rFonts w:hint="eastAsia"/>
                <w:lang w:val="en-US" w:eastAsia="zh-CN"/>
              </w:rPr>
              <w:t>莆田市鑫木汇家具有限公司从事</w:t>
            </w:r>
            <w:r>
              <w:rPr>
                <w:rFonts w:hint="eastAsia" w:ascii="Times New Roman" w:hAnsi="Times New Roman" w:cs="Times New Roman"/>
                <w:color w:val="000000"/>
                <w:lang w:val="en-US" w:eastAsia="zh-CN"/>
              </w:rPr>
              <w:t>从事大板桌及配套产品生产</w:t>
            </w:r>
            <w:r>
              <w:rPr>
                <w:rFonts w:hint="eastAsia"/>
                <w:lang w:val="en-US" w:eastAsia="zh-CN"/>
              </w:rPr>
              <w:t>，不属于园区禁止入驻项目，符合园区产业发展定位要求。</w:t>
            </w:r>
          </w:p>
        </w:tc>
      </w:tr>
      <w:tr w14:paraId="34685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36" w:hRule="atLeast"/>
          <w:jc w:val="center"/>
        </w:trPr>
        <w:tc>
          <w:tcPr>
            <w:tcW w:w="1907" w:type="dxa"/>
            <w:vAlign w:val="center"/>
          </w:tcPr>
          <w:p w14:paraId="51CA0AAA">
            <w:pPr>
              <w:pStyle w:val="23"/>
              <w:jc w:val="center"/>
              <w:rPr>
                <w:rFonts w:hint="default" w:eastAsia="宋体"/>
                <w:lang w:val="en-US" w:eastAsia="zh-CN"/>
              </w:rPr>
            </w:pPr>
            <w:r>
              <w:rPr>
                <w:rFonts w:hint="eastAsia"/>
                <w:lang w:val="en-US" w:eastAsia="zh-CN"/>
              </w:rPr>
              <w:t>其他符合性分析</w:t>
            </w:r>
          </w:p>
        </w:tc>
        <w:tc>
          <w:tcPr>
            <w:tcW w:w="7215" w:type="dxa"/>
            <w:gridSpan w:val="3"/>
            <w:vMerge w:val="restart"/>
            <w:vAlign w:val="center"/>
          </w:tcPr>
          <w:p w14:paraId="2AA19F1E">
            <w:pPr>
              <w:pStyle w:val="23"/>
              <w:numPr>
                <w:ilvl w:val="0"/>
                <w:numId w:val="0"/>
              </w:numPr>
              <w:spacing w:line="360" w:lineRule="auto"/>
              <w:jc w:val="left"/>
              <w:rPr>
                <w:rFonts w:hint="eastAsia"/>
                <w:lang w:val="en-US" w:eastAsia="zh-CN"/>
              </w:rPr>
            </w:pPr>
            <w:r>
              <w:rPr>
                <w:rFonts w:hint="eastAsia"/>
                <w:lang w:val="en-US" w:eastAsia="zh-CN"/>
              </w:rPr>
              <w:t>1.“三线一单”符合性分析</w:t>
            </w:r>
          </w:p>
          <w:p w14:paraId="217FC943">
            <w:pPr>
              <w:numPr>
                <w:ilvl w:val="0"/>
                <w:numId w:val="2"/>
              </w:numPr>
              <w:spacing w:line="360" w:lineRule="auto"/>
              <w:rPr>
                <w:rFonts w:hint="default"/>
                <w:lang w:val="en-US" w:eastAsia="zh-CN"/>
              </w:rPr>
            </w:pPr>
            <w:r>
              <w:rPr>
                <w:rFonts w:hint="default"/>
                <w:lang w:val="en-US" w:eastAsia="zh-CN"/>
              </w:rPr>
              <w:t>生态保护红线</w:t>
            </w:r>
          </w:p>
          <w:p w14:paraId="0D84046A">
            <w:pPr>
              <w:spacing w:line="360" w:lineRule="auto"/>
              <w:rPr>
                <w:rFonts w:hint="default"/>
                <w:lang w:val="en-US" w:eastAsia="zh-CN"/>
              </w:rPr>
            </w:pPr>
            <w:r>
              <w:rPr>
                <w:rFonts w:hint="default"/>
                <w:lang w:val="en-US" w:eastAsia="zh-CN"/>
              </w:rPr>
              <w:t>项目位于福建省</w:t>
            </w:r>
            <w:r>
              <w:rPr>
                <w:rFonts w:hint="eastAsia"/>
                <w:lang w:val="en-US" w:eastAsia="zh-CN"/>
              </w:rPr>
              <w:t>莆田市秀屿区东峤镇前沁村前沁1133号（秀屿国家级木材贸易加工示范区内）</w:t>
            </w:r>
            <w:r>
              <w:rPr>
                <w:rFonts w:hint="default"/>
                <w:lang w:val="en-US" w:eastAsia="zh-CN"/>
              </w:rPr>
              <w:t>，租用</w:t>
            </w:r>
            <w:r>
              <w:rPr>
                <w:rFonts w:hint="eastAsia"/>
                <w:lang w:val="en-US" w:eastAsia="zh-CN"/>
              </w:rPr>
              <w:t>莆田市长峰木业有限公司厂房作为生产办公用地</w:t>
            </w:r>
            <w:r>
              <w:rPr>
                <w:rFonts w:hint="default"/>
                <w:lang w:val="en-US" w:eastAsia="zh-CN"/>
              </w:rPr>
              <w:t>，利用现有厂房进行生产，不新增用地且用地类型为工业用地，</w:t>
            </w:r>
            <w:r>
              <w:rPr>
                <w:rFonts w:hint="eastAsia"/>
                <w:lang w:val="en-US" w:eastAsia="zh-CN"/>
              </w:rPr>
              <w:t>对照《福建省陆域生态保护红线规划成果报告（征求意见稿）》，</w:t>
            </w:r>
            <w:r>
              <w:rPr>
                <w:rFonts w:hint="default"/>
                <w:lang w:val="en-US" w:eastAsia="zh-CN"/>
              </w:rPr>
              <w:t>项目选址不涉及</w:t>
            </w:r>
            <w:r>
              <w:rPr>
                <w:rFonts w:hint="eastAsia"/>
                <w:lang w:val="en-US" w:eastAsia="zh-CN"/>
              </w:rPr>
              <w:t>国家公园；自然保护区；森林公园的生态保育区和核心景观区；风景名胜区的核心景区；地质公园的地质遗迹保护区；世界自然遗产的核心区和缓冲区；湿地公园的湿地保育区和恢复重建区；饮用水水源地的一级保护区；水产种质资源保护区的核心区等禁止开发区域。</w:t>
            </w:r>
            <w:r>
              <w:rPr>
                <w:rFonts w:hint="default"/>
                <w:lang w:val="en-US" w:eastAsia="zh-CN"/>
              </w:rPr>
              <w:t>因此，项目建设符合生态红线控制要求。</w:t>
            </w:r>
          </w:p>
          <w:p w14:paraId="2542162C">
            <w:pPr>
              <w:numPr>
                <w:ilvl w:val="0"/>
                <w:numId w:val="2"/>
              </w:numPr>
              <w:spacing w:line="360" w:lineRule="auto"/>
              <w:ind w:left="0" w:leftChars="0" w:firstLine="420" w:firstLineChars="200"/>
              <w:rPr>
                <w:rFonts w:hint="default"/>
                <w:lang w:val="en-US" w:eastAsia="zh-CN"/>
              </w:rPr>
            </w:pPr>
            <w:r>
              <w:rPr>
                <w:rFonts w:hint="default"/>
                <w:lang w:val="en-US" w:eastAsia="zh-CN"/>
              </w:rPr>
              <w:t>环境质量底线</w:t>
            </w:r>
          </w:p>
          <w:p w14:paraId="3A37F87B">
            <w:pPr>
              <w:spacing w:line="360" w:lineRule="auto"/>
              <w:rPr>
                <w:rFonts w:hint="default"/>
              </w:rPr>
            </w:pPr>
            <w:r>
              <w:rPr>
                <w:rFonts w:hint="default"/>
                <w:lang w:val="en-US" w:eastAsia="zh-CN"/>
              </w:rPr>
              <w:t>项目所在区域环境质量底线为：</w:t>
            </w:r>
            <w:r>
              <w:rPr>
                <w:rFonts w:hint="default"/>
              </w:rPr>
              <w:t>环境空气质量目标为《环境空气质量标准》（GB3095-2012）二级，水环境质量目标为《</w:t>
            </w:r>
            <w:r>
              <w:rPr>
                <w:rFonts w:hint="eastAsia"/>
                <w:lang w:val="en-US" w:eastAsia="zh-CN"/>
              </w:rPr>
              <w:t>海水水质</w:t>
            </w:r>
            <w:r>
              <w:rPr>
                <w:rFonts w:hint="default"/>
              </w:rPr>
              <w:t>标准》（GB</w:t>
            </w:r>
            <w:r>
              <w:rPr>
                <w:rFonts w:hint="eastAsia"/>
                <w:lang w:val="en-US" w:eastAsia="zh-CN"/>
              </w:rPr>
              <w:t>3097</w:t>
            </w:r>
            <w:r>
              <w:rPr>
                <w:rFonts w:hint="default"/>
              </w:rPr>
              <w:t>-</w:t>
            </w:r>
            <w:r>
              <w:rPr>
                <w:rFonts w:hint="eastAsia"/>
                <w:lang w:val="en-US" w:eastAsia="zh-CN"/>
              </w:rPr>
              <w:t>1997</w:t>
            </w:r>
            <w:r>
              <w:rPr>
                <w:rFonts w:hint="default"/>
              </w:rPr>
              <w:t>）</w:t>
            </w:r>
            <w:r>
              <w:rPr>
                <w:rFonts w:hint="default"/>
                <w:lang w:val="en-US" w:eastAsia="zh-CN"/>
              </w:rPr>
              <w:t>III</w:t>
            </w:r>
            <w:r>
              <w:rPr>
                <w:rFonts w:hint="default"/>
              </w:rPr>
              <w:t>类；声环境质量目标为《声环境质量标准》（GB3096-2008）</w:t>
            </w:r>
            <w:r>
              <w:rPr>
                <w:rFonts w:hint="eastAsia"/>
                <w:lang w:val="en-US" w:eastAsia="zh-CN"/>
              </w:rPr>
              <w:t>3</w:t>
            </w:r>
            <w:r>
              <w:rPr>
                <w:rFonts w:hint="default"/>
              </w:rPr>
              <w:t>类</w:t>
            </w:r>
          </w:p>
          <w:p w14:paraId="3A1B79EE">
            <w:pPr>
              <w:pStyle w:val="16"/>
              <w:widowControl w:val="0"/>
              <w:wordWrap/>
              <w:adjustRightInd/>
              <w:snapToGrid/>
              <w:spacing w:after="0" w:line="360" w:lineRule="auto"/>
              <w:textAlignment w:val="auto"/>
              <w:rPr>
                <w:rFonts w:hint="eastAsia"/>
                <w:lang w:val="en-US" w:eastAsia="zh-CN"/>
              </w:rPr>
            </w:pPr>
            <w:r>
              <w:rPr>
                <w:rFonts w:hint="eastAsia"/>
                <w:lang w:val="en-US" w:eastAsia="zh-CN"/>
              </w:rPr>
              <w:t>项目废水依托出租方化粪池处理后，排入市政管网，纳入秀屿区港城污水处理厂处理，不直接排入水体，对区域水环境质量影响较小；生产工艺废气采取有效的废气排放治理措施，项目正常排放情况下不会对周围环境质量造成较大影响，不会突破环境空气质量底线；对生产产生的固体废物及危险废物进行综合利用、妥善处置，对周边环境影响不大。</w:t>
            </w:r>
          </w:p>
          <w:p w14:paraId="3C6E122E">
            <w:pPr>
              <w:pStyle w:val="15"/>
              <w:spacing w:line="360" w:lineRule="auto"/>
              <w:rPr>
                <w:rFonts w:hint="default"/>
                <w:lang w:val="en-US" w:eastAsia="zh-CN"/>
              </w:rPr>
            </w:pPr>
            <w:r>
              <w:rPr>
                <w:rFonts w:hint="eastAsia"/>
                <w:lang w:val="en-US" w:eastAsia="zh-CN"/>
              </w:rPr>
              <w:t>综上所述，项目所在区域环境质量状况良好，项目各项污染物不会对区域环境质量底线造成较大影响。</w:t>
            </w:r>
          </w:p>
          <w:p w14:paraId="64F9ADEF">
            <w:pPr>
              <w:numPr>
                <w:ilvl w:val="0"/>
                <w:numId w:val="2"/>
              </w:numPr>
              <w:spacing w:line="360" w:lineRule="auto"/>
              <w:ind w:left="0" w:leftChars="0" w:firstLine="420" w:firstLineChars="200"/>
              <w:rPr>
                <w:rFonts w:hint="default"/>
                <w:lang w:val="en-US" w:eastAsia="zh-CN"/>
              </w:rPr>
            </w:pPr>
            <w:r>
              <w:rPr>
                <w:rFonts w:hint="default"/>
                <w:lang w:val="en-US" w:eastAsia="zh-CN"/>
              </w:rPr>
              <w:t>资源利用上限</w:t>
            </w:r>
          </w:p>
          <w:p w14:paraId="1182AAEF">
            <w:pPr>
              <w:spacing w:line="360" w:lineRule="auto"/>
              <w:rPr>
                <w:rFonts w:hint="default"/>
              </w:rPr>
            </w:pPr>
            <w:r>
              <w:rPr>
                <w:rFonts w:hint="default"/>
              </w:rPr>
              <w:t>本项目利用</w:t>
            </w:r>
            <w:r>
              <w:rPr>
                <w:rFonts w:hint="eastAsia"/>
                <w:lang w:val="en-US" w:eastAsia="zh-CN"/>
              </w:rPr>
              <w:t>现有</w:t>
            </w:r>
            <w:r>
              <w:rPr>
                <w:rFonts w:hint="default"/>
              </w:rPr>
              <w:t>厂房进行</w:t>
            </w:r>
            <w:r>
              <w:rPr>
                <w:rFonts w:hint="default"/>
                <w:lang w:eastAsia="zh-CN"/>
              </w:rPr>
              <w:t>生产</w:t>
            </w:r>
            <w:r>
              <w:rPr>
                <w:rFonts w:hint="default"/>
              </w:rPr>
              <w:t>，不新增工业用地，提高了土地利用率；一般固废</w:t>
            </w:r>
            <w:r>
              <w:rPr>
                <w:rFonts w:hint="default"/>
                <w:lang w:eastAsia="zh-CN"/>
              </w:rPr>
              <w:t>回收利用</w:t>
            </w:r>
            <w:r>
              <w:rPr>
                <w:rFonts w:hint="default"/>
              </w:rPr>
              <w:t>，危险废物由有资质单位回收处理，有效提高废旧资源的利用率。</w:t>
            </w:r>
          </w:p>
          <w:p w14:paraId="76A4A0C4">
            <w:pPr>
              <w:spacing w:line="360" w:lineRule="auto"/>
              <w:rPr>
                <w:rFonts w:hint="default"/>
              </w:rPr>
            </w:pPr>
            <w:r>
              <w:rPr>
                <w:rFonts w:hint="default"/>
              </w:rPr>
              <w:t>同时，项目建成运行后通过内部管理、设备选择、原辅材料的选用和管理、废物回收利用、污染治理等多方面采取合理可行的防治措施，以“节能、降耗、减污”为目标，</w:t>
            </w:r>
            <w:r>
              <w:rPr>
                <w:rFonts w:hint="eastAsia"/>
                <w:lang w:val="en-US" w:eastAsia="zh-CN"/>
              </w:rPr>
              <w:t>能</w:t>
            </w:r>
            <w:r>
              <w:rPr>
                <w:rFonts w:hint="default"/>
              </w:rPr>
              <w:t>有效地控制污染；项目</w:t>
            </w:r>
            <w:r>
              <w:rPr>
                <w:rFonts w:hint="eastAsia"/>
                <w:lang w:val="en-US" w:eastAsia="zh-CN"/>
              </w:rPr>
              <w:t>建成后运营期用</w:t>
            </w:r>
            <w:r>
              <w:rPr>
                <w:rFonts w:hint="default"/>
              </w:rPr>
              <w:t>水</w:t>
            </w:r>
            <w:r>
              <w:rPr>
                <w:rFonts w:hint="eastAsia"/>
                <w:lang w:val="en-US" w:eastAsia="zh-CN"/>
              </w:rPr>
              <w:t>量约为300t/a，用电量约为5万千瓦时/年，换算成标煤约为61.45吨/年，项目水资源及能源消耗量不大，不属于高耗能和资源消耗型企业。</w:t>
            </w:r>
            <w:r>
              <w:rPr>
                <w:rFonts w:hint="default"/>
              </w:rPr>
              <w:t>。</w:t>
            </w:r>
          </w:p>
          <w:p w14:paraId="5B2977B3">
            <w:pPr>
              <w:numPr>
                <w:ilvl w:val="0"/>
                <w:numId w:val="0"/>
              </w:numPr>
              <w:spacing w:line="360" w:lineRule="auto"/>
              <w:ind w:leftChars="200"/>
              <w:rPr>
                <w:rFonts w:hint="eastAsia"/>
                <w:lang w:val="en-US" w:eastAsia="zh-CN"/>
              </w:rPr>
            </w:pPr>
            <w:r>
              <w:rPr>
                <w:rFonts w:hint="eastAsia"/>
                <w:lang w:val="en-US" w:eastAsia="zh-CN"/>
              </w:rPr>
              <w:t>（4）生态环境准入清单</w:t>
            </w:r>
          </w:p>
          <w:p w14:paraId="04269238">
            <w:pPr>
              <w:spacing w:line="360" w:lineRule="auto"/>
              <w:rPr>
                <w:rFonts w:hint="default"/>
                <w:lang w:val="en-US" w:eastAsia="zh-CN"/>
              </w:rPr>
            </w:pPr>
            <w:r>
              <w:rPr>
                <w:rFonts w:hint="eastAsia"/>
                <w:lang w:val="en-US" w:eastAsia="zh-CN"/>
              </w:rPr>
              <w:t>项目不属于《重点生态功能区产业准入负面清单编制实施办法》 和 《市场准入负面清单2022年版》中禁止或限制项目；不</w:t>
            </w:r>
            <w:r>
              <w:rPr>
                <w:rFonts w:hint="default"/>
                <w:lang w:val="en-US" w:eastAsia="zh-CN"/>
              </w:rPr>
              <w:t>属于《产业结构调整指导目录（</w:t>
            </w:r>
            <w:r>
              <w:rPr>
                <w:rFonts w:hint="eastAsia"/>
                <w:lang w:val="en-US" w:eastAsia="zh-CN"/>
              </w:rPr>
              <w:t>2024</w:t>
            </w:r>
            <w:r>
              <w:rPr>
                <w:rFonts w:hint="default"/>
                <w:lang w:val="en-US" w:eastAsia="zh-CN"/>
              </w:rPr>
              <w:t>年本）》中</w:t>
            </w:r>
            <w:r>
              <w:rPr>
                <w:rFonts w:hint="eastAsia"/>
                <w:lang w:val="en-US" w:eastAsia="zh-CN"/>
              </w:rPr>
              <w:t>限制类、淘汰类，</w:t>
            </w:r>
            <w:r>
              <w:rPr>
                <w:rFonts w:hint="default"/>
                <w:lang w:val="en-US" w:eastAsia="zh-CN"/>
              </w:rPr>
              <w:t>因此本项目</w:t>
            </w:r>
            <w:r>
              <w:rPr>
                <w:rFonts w:hint="eastAsia"/>
                <w:lang w:val="en-US" w:eastAsia="zh-CN"/>
              </w:rPr>
              <w:t>基本符合要求</w:t>
            </w:r>
            <w:r>
              <w:rPr>
                <w:rFonts w:hint="default"/>
                <w:lang w:val="en-US" w:eastAsia="zh-CN"/>
              </w:rPr>
              <w:t>。</w:t>
            </w:r>
          </w:p>
          <w:p w14:paraId="37C42686">
            <w:pPr>
              <w:pStyle w:val="23"/>
              <w:wordWrap/>
              <w:spacing w:line="360" w:lineRule="auto"/>
              <w:ind w:firstLine="480"/>
              <w:textAlignment w:val="auto"/>
              <w:rPr>
                <w:rFonts w:hint="default"/>
                <w:lang w:val="en-US" w:eastAsia="zh-CN"/>
              </w:rPr>
            </w:pPr>
            <w:r>
              <w:rPr>
                <w:rFonts w:hint="default"/>
                <w:lang w:val="en-US" w:eastAsia="zh-CN"/>
              </w:rPr>
              <w:t>①与《福建省人民政府关于实施“三线一单”生态环境分区管控的通知》 （闽政【2020】12号） 符合性</w:t>
            </w:r>
            <w:r>
              <w:rPr>
                <w:rFonts w:hint="eastAsia"/>
                <w:lang w:val="en-US" w:eastAsia="zh-CN"/>
              </w:rPr>
              <w:t>分析</w:t>
            </w:r>
          </w:p>
          <w:tbl>
            <w:tblPr>
              <w:tblStyle w:val="17"/>
              <w:tblW w:w="679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09"/>
              <w:gridCol w:w="3593"/>
              <w:gridCol w:w="1629"/>
              <w:gridCol w:w="705"/>
              <w:gridCol w:w="36"/>
            </w:tblGrid>
            <w:tr w14:paraId="538A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 w:type="dxa"/>
                <w:trHeight w:val="685" w:hRule="atLeast"/>
              </w:trPr>
              <w:tc>
                <w:tcPr>
                  <w:tcW w:w="4428" w:type="dxa"/>
                  <w:gridSpan w:val="3"/>
                  <w:tcBorders>
                    <w:tl2br w:val="nil"/>
                    <w:tr2bl w:val="nil"/>
                  </w:tcBorders>
                  <w:vAlign w:val="center"/>
                </w:tcPr>
                <w:p w14:paraId="02416BB9">
                  <w:pPr>
                    <w:pStyle w:val="24"/>
                    <w:rPr>
                      <w:rFonts w:hint="eastAsia"/>
                    </w:rPr>
                  </w:pPr>
                  <w:r>
                    <w:rPr>
                      <w:rFonts w:hint="eastAsia"/>
                      <w:lang w:val="en-US" w:eastAsia="zh-CN"/>
                    </w:rPr>
                    <w:t>适用范围</w:t>
                  </w:r>
                </w:p>
              </w:tc>
              <w:tc>
                <w:tcPr>
                  <w:tcW w:w="1629" w:type="dxa"/>
                  <w:tcBorders>
                    <w:tl2br w:val="nil"/>
                    <w:tr2bl w:val="nil"/>
                  </w:tcBorders>
                  <w:vAlign w:val="center"/>
                </w:tcPr>
                <w:p w14:paraId="703ADB1F">
                  <w:pPr>
                    <w:pStyle w:val="24"/>
                    <w:rPr>
                      <w:rFonts w:hint="eastAsia"/>
                    </w:rPr>
                  </w:pPr>
                  <w:r>
                    <w:rPr>
                      <w:rFonts w:hint="eastAsia"/>
                      <w:lang w:val="en-US" w:eastAsia="zh-CN"/>
                    </w:rPr>
                    <w:t>本项目相关情况</w:t>
                  </w:r>
                </w:p>
              </w:tc>
              <w:tc>
                <w:tcPr>
                  <w:tcW w:w="705" w:type="dxa"/>
                  <w:tcBorders>
                    <w:tl2br w:val="nil"/>
                    <w:tr2bl w:val="nil"/>
                  </w:tcBorders>
                  <w:vAlign w:val="center"/>
                </w:tcPr>
                <w:p w14:paraId="46328CE7">
                  <w:pPr>
                    <w:pStyle w:val="24"/>
                    <w:rPr>
                      <w:rFonts w:hint="eastAsia"/>
                    </w:rPr>
                  </w:pPr>
                  <w:r>
                    <w:rPr>
                      <w:rFonts w:hint="eastAsia"/>
                      <w:lang w:val="en-US" w:eastAsia="zh-CN"/>
                    </w:rPr>
                    <w:t>符合性分析</w:t>
                  </w:r>
                </w:p>
              </w:tc>
            </w:tr>
            <w:tr w14:paraId="4876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426" w:type="dxa"/>
                  <w:vMerge w:val="restart"/>
                  <w:tcBorders>
                    <w:tl2br w:val="nil"/>
                    <w:tr2bl w:val="nil"/>
                  </w:tcBorders>
                  <w:vAlign w:val="center"/>
                </w:tcPr>
                <w:p w14:paraId="0AA8C0D0">
                  <w:pPr>
                    <w:pStyle w:val="24"/>
                    <w:rPr>
                      <w:rFonts w:hint="eastAsia"/>
                    </w:rPr>
                  </w:pPr>
                  <w:r>
                    <w:rPr>
                      <w:rFonts w:hint="eastAsia"/>
                      <w:lang w:val="en-US" w:eastAsia="zh-CN"/>
                    </w:rPr>
                    <w:t>全省陆域</w:t>
                  </w:r>
                </w:p>
              </w:tc>
              <w:tc>
                <w:tcPr>
                  <w:tcW w:w="409" w:type="dxa"/>
                  <w:vMerge w:val="restart"/>
                  <w:tcBorders>
                    <w:tl2br w:val="nil"/>
                    <w:tr2bl w:val="nil"/>
                  </w:tcBorders>
                  <w:vAlign w:val="center"/>
                </w:tcPr>
                <w:p w14:paraId="0F195FBF">
                  <w:pPr>
                    <w:pStyle w:val="24"/>
                    <w:rPr>
                      <w:rFonts w:hint="eastAsia"/>
                    </w:rPr>
                  </w:pPr>
                  <w:r>
                    <w:rPr>
                      <w:rFonts w:hint="eastAsia"/>
                      <w:lang w:val="en-US" w:eastAsia="zh-CN"/>
                    </w:rPr>
                    <w:t>空间布局约束</w:t>
                  </w:r>
                </w:p>
              </w:tc>
              <w:tc>
                <w:tcPr>
                  <w:tcW w:w="3593" w:type="dxa"/>
                  <w:tcBorders>
                    <w:tl2br w:val="nil"/>
                    <w:tr2bl w:val="nil"/>
                  </w:tcBorders>
                  <w:vAlign w:val="center"/>
                </w:tcPr>
                <w:p w14:paraId="0009EA1A">
                  <w:pPr>
                    <w:pStyle w:val="24"/>
                    <w:jc w:val="left"/>
                    <w:rPr>
                      <w:rFonts w:hint="default"/>
                      <w:lang w:val="en-US" w:eastAsia="zh-CN"/>
                    </w:rPr>
                  </w:pPr>
                  <w:r>
                    <w:rPr>
                      <w:rFonts w:hint="default"/>
                      <w:lang w:val="en-US" w:eastAsia="zh-CN"/>
                    </w:rPr>
                    <w:t>1.石化、汽车、船舶、冶金、水泥、</w:t>
                  </w:r>
                </w:p>
                <w:p w14:paraId="2A937D17">
                  <w:pPr>
                    <w:pStyle w:val="24"/>
                    <w:jc w:val="left"/>
                    <w:rPr>
                      <w:rFonts w:hint="default"/>
                    </w:rPr>
                  </w:pPr>
                  <w:r>
                    <w:rPr>
                      <w:rFonts w:hint="default"/>
                      <w:lang w:val="en-US" w:eastAsia="zh-CN"/>
                    </w:rPr>
                    <w:t>制浆造纸、印染等重点产业，要符合全省规划布局要求。</w:t>
                  </w:r>
                </w:p>
              </w:tc>
              <w:tc>
                <w:tcPr>
                  <w:tcW w:w="1629" w:type="dxa"/>
                  <w:vMerge w:val="restart"/>
                  <w:tcBorders>
                    <w:tl2br w:val="nil"/>
                    <w:tr2bl w:val="nil"/>
                  </w:tcBorders>
                  <w:vAlign w:val="center"/>
                </w:tcPr>
                <w:p w14:paraId="55EA4A96">
                  <w:pPr>
                    <w:pStyle w:val="24"/>
                    <w:jc w:val="both"/>
                    <w:rPr>
                      <w:rFonts w:hint="eastAsia"/>
                    </w:rPr>
                  </w:pPr>
                  <w:r>
                    <w:rPr>
                      <w:rFonts w:hint="eastAsia"/>
                      <w:lang w:val="en-US" w:eastAsia="zh-CN"/>
                    </w:rPr>
                    <w:t>项目从事于木质家具制造，不涉及文中规定的限制类产业</w:t>
                  </w:r>
                </w:p>
              </w:tc>
              <w:tc>
                <w:tcPr>
                  <w:tcW w:w="741" w:type="dxa"/>
                  <w:gridSpan w:val="2"/>
                  <w:vMerge w:val="restart"/>
                  <w:tcBorders>
                    <w:tl2br w:val="nil"/>
                    <w:tr2bl w:val="nil"/>
                  </w:tcBorders>
                  <w:vAlign w:val="center"/>
                </w:tcPr>
                <w:p w14:paraId="75CD053C">
                  <w:pPr>
                    <w:pStyle w:val="24"/>
                    <w:rPr>
                      <w:rFonts w:hint="eastAsia"/>
                    </w:rPr>
                  </w:pPr>
                  <w:r>
                    <w:rPr>
                      <w:rFonts w:hint="eastAsia"/>
                      <w:lang w:val="en-US" w:eastAsia="zh-CN"/>
                    </w:rPr>
                    <w:t>符合</w:t>
                  </w:r>
                </w:p>
              </w:tc>
            </w:tr>
            <w:tr w14:paraId="74EB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26" w:type="dxa"/>
                  <w:vMerge w:val="continue"/>
                  <w:tcBorders>
                    <w:tl2br w:val="nil"/>
                    <w:tr2bl w:val="nil"/>
                  </w:tcBorders>
                  <w:vAlign w:val="center"/>
                </w:tcPr>
                <w:p w14:paraId="3476C7FE">
                  <w:pPr>
                    <w:pStyle w:val="24"/>
                    <w:rPr>
                      <w:rFonts w:hint="eastAsia"/>
                    </w:rPr>
                  </w:pPr>
                </w:p>
              </w:tc>
              <w:tc>
                <w:tcPr>
                  <w:tcW w:w="409" w:type="dxa"/>
                  <w:vMerge w:val="continue"/>
                  <w:tcBorders>
                    <w:tl2br w:val="nil"/>
                    <w:tr2bl w:val="nil"/>
                  </w:tcBorders>
                  <w:vAlign w:val="center"/>
                </w:tcPr>
                <w:p w14:paraId="0A698447">
                  <w:pPr>
                    <w:pStyle w:val="24"/>
                    <w:rPr>
                      <w:rFonts w:hint="eastAsia"/>
                    </w:rPr>
                  </w:pPr>
                </w:p>
              </w:tc>
              <w:tc>
                <w:tcPr>
                  <w:tcW w:w="3593" w:type="dxa"/>
                  <w:tcBorders>
                    <w:tl2br w:val="nil"/>
                    <w:tr2bl w:val="nil"/>
                  </w:tcBorders>
                  <w:vAlign w:val="center"/>
                </w:tcPr>
                <w:p w14:paraId="442B7008">
                  <w:pPr>
                    <w:pStyle w:val="24"/>
                    <w:jc w:val="left"/>
                    <w:rPr>
                      <w:rFonts w:hint="default"/>
                    </w:rPr>
                  </w:pPr>
                  <w:r>
                    <w:rPr>
                      <w:rFonts w:hint="default"/>
                      <w:lang w:val="en-US" w:eastAsia="zh-CN"/>
                    </w:rPr>
                    <w:t>2.严控钢铁、水泥、平板玻璃等产能过剩行业新增产能，新增产能应实施产能等量或减量置换。</w:t>
                  </w:r>
                </w:p>
              </w:tc>
              <w:tc>
                <w:tcPr>
                  <w:tcW w:w="1629" w:type="dxa"/>
                  <w:vMerge w:val="continue"/>
                  <w:tcBorders>
                    <w:tl2br w:val="nil"/>
                    <w:tr2bl w:val="nil"/>
                  </w:tcBorders>
                  <w:vAlign w:val="center"/>
                </w:tcPr>
                <w:p w14:paraId="6468D47C">
                  <w:pPr>
                    <w:pStyle w:val="24"/>
                    <w:rPr>
                      <w:rFonts w:hint="eastAsia"/>
                    </w:rPr>
                  </w:pPr>
                </w:p>
              </w:tc>
              <w:tc>
                <w:tcPr>
                  <w:tcW w:w="741" w:type="dxa"/>
                  <w:gridSpan w:val="2"/>
                  <w:vMerge w:val="continue"/>
                  <w:tcBorders>
                    <w:tl2br w:val="nil"/>
                    <w:tr2bl w:val="nil"/>
                  </w:tcBorders>
                  <w:vAlign w:val="center"/>
                </w:tcPr>
                <w:p w14:paraId="17D299E2">
                  <w:pPr>
                    <w:pStyle w:val="24"/>
                    <w:rPr>
                      <w:rFonts w:hint="eastAsia"/>
                    </w:rPr>
                  </w:pPr>
                </w:p>
              </w:tc>
            </w:tr>
            <w:tr w14:paraId="727B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426" w:type="dxa"/>
                  <w:vMerge w:val="continue"/>
                  <w:tcBorders>
                    <w:tl2br w:val="nil"/>
                    <w:tr2bl w:val="nil"/>
                  </w:tcBorders>
                  <w:vAlign w:val="center"/>
                </w:tcPr>
                <w:p w14:paraId="6983DB9E">
                  <w:pPr>
                    <w:pStyle w:val="24"/>
                    <w:rPr>
                      <w:rFonts w:hint="eastAsia"/>
                    </w:rPr>
                  </w:pPr>
                </w:p>
              </w:tc>
              <w:tc>
                <w:tcPr>
                  <w:tcW w:w="409" w:type="dxa"/>
                  <w:vMerge w:val="continue"/>
                  <w:tcBorders>
                    <w:tl2br w:val="nil"/>
                    <w:tr2bl w:val="nil"/>
                  </w:tcBorders>
                  <w:vAlign w:val="center"/>
                </w:tcPr>
                <w:p w14:paraId="7E03626C">
                  <w:pPr>
                    <w:pStyle w:val="24"/>
                    <w:rPr>
                      <w:rFonts w:hint="eastAsia"/>
                    </w:rPr>
                  </w:pPr>
                </w:p>
              </w:tc>
              <w:tc>
                <w:tcPr>
                  <w:tcW w:w="3593" w:type="dxa"/>
                  <w:tcBorders>
                    <w:tl2br w:val="nil"/>
                    <w:tr2bl w:val="nil"/>
                  </w:tcBorders>
                  <w:vAlign w:val="center"/>
                </w:tcPr>
                <w:p w14:paraId="13CD00D0">
                  <w:pPr>
                    <w:pStyle w:val="24"/>
                    <w:jc w:val="left"/>
                    <w:rPr>
                      <w:rFonts w:hint="default"/>
                    </w:rPr>
                  </w:pPr>
                  <w:r>
                    <w:rPr>
                      <w:rFonts w:hint="default"/>
                      <w:lang w:val="en-US" w:eastAsia="zh-CN"/>
                    </w:rPr>
                    <w:t>3.除列入国家规划的大型煤电和符合相关要求的等容量替代项目，以及以供热为主的热电联产项目外，原则上不再建设新的煤电项目。</w:t>
                  </w:r>
                </w:p>
              </w:tc>
              <w:tc>
                <w:tcPr>
                  <w:tcW w:w="1629" w:type="dxa"/>
                  <w:vMerge w:val="continue"/>
                  <w:tcBorders>
                    <w:tl2br w:val="nil"/>
                    <w:tr2bl w:val="nil"/>
                  </w:tcBorders>
                  <w:vAlign w:val="center"/>
                </w:tcPr>
                <w:p w14:paraId="5851E1C2">
                  <w:pPr>
                    <w:pStyle w:val="24"/>
                    <w:rPr>
                      <w:rFonts w:hint="eastAsia"/>
                    </w:rPr>
                  </w:pPr>
                </w:p>
              </w:tc>
              <w:tc>
                <w:tcPr>
                  <w:tcW w:w="741" w:type="dxa"/>
                  <w:gridSpan w:val="2"/>
                  <w:vMerge w:val="continue"/>
                  <w:tcBorders>
                    <w:tl2br w:val="nil"/>
                    <w:tr2bl w:val="nil"/>
                  </w:tcBorders>
                  <w:vAlign w:val="center"/>
                </w:tcPr>
                <w:p w14:paraId="08385D42">
                  <w:pPr>
                    <w:pStyle w:val="24"/>
                    <w:rPr>
                      <w:rFonts w:hint="eastAsia"/>
                    </w:rPr>
                  </w:pPr>
                </w:p>
              </w:tc>
            </w:tr>
            <w:tr w14:paraId="2BF4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26" w:type="dxa"/>
                  <w:vMerge w:val="continue"/>
                  <w:tcBorders>
                    <w:tl2br w:val="nil"/>
                    <w:tr2bl w:val="nil"/>
                  </w:tcBorders>
                  <w:vAlign w:val="center"/>
                </w:tcPr>
                <w:p w14:paraId="5BF0CD14">
                  <w:pPr>
                    <w:pStyle w:val="24"/>
                    <w:rPr>
                      <w:rFonts w:hint="eastAsia"/>
                    </w:rPr>
                  </w:pPr>
                </w:p>
              </w:tc>
              <w:tc>
                <w:tcPr>
                  <w:tcW w:w="409" w:type="dxa"/>
                  <w:vMerge w:val="continue"/>
                  <w:tcBorders>
                    <w:tl2br w:val="nil"/>
                    <w:tr2bl w:val="nil"/>
                  </w:tcBorders>
                  <w:vAlign w:val="center"/>
                </w:tcPr>
                <w:p w14:paraId="2556CCC5">
                  <w:pPr>
                    <w:pStyle w:val="24"/>
                    <w:rPr>
                      <w:rFonts w:hint="eastAsia"/>
                    </w:rPr>
                  </w:pPr>
                </w:p>
              </w:tc>
              <w:tc>
                <w:tcPr>
                  <w:tcW w:w="3593" w:type="dxa"/>
                  <w:tcBorders>
                    <w:tl2br w:val="nil"/>
                    <w:tr2bl w:val="nil"/>
                  </w:tcBorders>
                  <w:vAlign w:val="center"/>
                </w:tcPr>
                <w:p w14:paraId="258A795A">
                  <w:pPr>
                    <w:pStyle w:val="24"/>
                    <w:jc w:val="left"/>
                    <w:rPr>
                      <w:rFonts w:hint="default"/>
                    </w:rPr>
                  </w:pPr>
                  <w:r>
                    <w:rPr>
                      <w:rFonts w:hint="default"/>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629" w:type="dxa"/>
                  <w:vMerge w:val="continue"/>
                  <w:tcBorders>
                    <w:tl2br w:val="nil"/>
                    <w:tr2bl w:val="nil"/>
                  </w:tcBorders>
                  <w:vAlign w:val="center"/>
                </w:tcPr>
                <w:p w14:paraId="0E38B260">
                  <w:pPr>
                    <w:pStyle w:val="24"/>
                    <w:rPr>
                      <w:rFonts w:hint="eastAsia"/>
                    </w:rPr>
                  </w:pPr>
                </w:p>
              </w:tc>
              <w:tc>
                <w:tcPr>
                  <w:tcW w:w="741" w:type="dxa"/>
                  <w:gridSpan w:val="2"/>
                  <w:vMerge w:val="continue"/>
                  <w:tcBorders>
                    <w:tl2br w:val="nil"/>
                    <w:tr2bl w:val="nil"/>
                  </w:tcBorders>
                  <w:vAlign w:val="center"/>
                </w:tcPr>
                <w:p w14:paraId="6B8D5D7B">
                  <w:pPr>
                    <w:pStyle w:val="24"/>
                    <w:rPr>
                      <w:rFonts w:hint="eastAsia"/>
                    </w:rPr>
                  </w:pPr>
                </w:p>
              </w:tc>
            </w:tr>
            <w:tr w14:paraId="24D9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426" w:type="dxa"/>
                  <w:vMerge w:val="continue"/>
                  <w:tcBorders>
                    <w:tl2br w:val="nil"/>
                    <w:tr2bl w:val="nil"/>
                  </w:tcBorders>
                  <w:vAlign w:val="center"/>
                </w:tcPr>
                <w:p w14:paraId="60B57F2D">
                  <w:pPr>
                    <w:pStyle w:val="24"/>
                    <w:rPr>
                      <w:rFonts w:hint="eastAsia"/>
                    </w:rPr>
                  </w:pPr>
                </w:p>
              </w:tc>
              <w:tc>
                <w:tcPr>
                  <w:tcW w:w="409" w:type="dxa"/>
                  <w:vMerge w:val="continue"/>
                  <w:tcBorders>
                    <w:tl2br w:val="nil"/>
                    <w:tr2bl w:val="nil"/>
                  </w:tcBorders>
                  <w:vAlign w:val="center"/>
                </w:tcPr>
                <w:p w14:paraId="5FFA7DE6">
                  <w:pPr>
                    <w:pStyle w:val="24"/>
                    <w:rPr>
                      <w:rFonts w:hint="eastAsia"/>
                    </w:rPr>
                  </w:pPr>
                </w:p>
              </w:tc>
              <w:tc>
                <w:tcPr>
                  <w:tcW w:w="3593" w:type="dxa"/>
                  <w:tcBorders>
                    <w:tl2br w:val="nil"/>
                    <w:tr2bl w:val="nil"/>
                  </w:tcBorders>
                  <w:vAlign w:val="center"/>
                </w:tcPr>
                <w:p w14:paraId="60BCC01C">
                  <w:pPr>
                    <w:pStyle w:val="24"/>
                    <w:jc w:val="left"/>
                    <w:rPr>
                      <w:rFonts w:hint="default"/>
                    </w:rPr>
                  </w:pPr>
                  <w:r>
                    <w:rPr>
                      <w:rFonts w:hint="default"/>
                      <w:lang w:val="en-US" w:eastAsia="zh-CN"/>
                    </w:rPr>
                    <w:t>5.禁止在水环境质量不能稳定达标的区域内，建设新增相应不达标污染物指标排放量的工业项目。</w:t>
                  </w:r>
                </w:p>
              </w:tc>
              <w:tc>
                <w:tcPr>
                  <w:tcW w:w="1629" w:type="dxa"/>
                  <w:tcBorders>
                    <w:tl2br w:val="nil"/>
                    <w:tr2bl w:val="nil"/>
                  </w:tcBorders>
                  <w:vAlign w:val="center"/>
                </w:tcPr>
                <w:p w14:paraId="749D1DF1">
                  <w:pPr>
                    <w:pStyle w:val="24"/>
                    <w:jc w:val="both"/>
                    <w:rPr>
                      <w:rFonts w:hint="default"/>
                      <w:lang w:val="en-US" w:eastAsia="zh-CN"/>
                    </w:rPr>
                  </w:pPr>
                  <w:r>
                    <w:rPr>
                      <w:rFonts w:hint="eastAsia"/>
                      <w:lang w:val="en-US" w:eastAsia="zh-CN"/>
                    </w:rPr>
                    <w:t>项目所在区域水环境质量较为稳定，且项目无生产废水排放，仅排放生活污水，生活污水经化粪池处理后可达标排放</w:t>
                  </w:r>
                </w:p>
              </w:tc>
              <w:tc>
                <w:tcPr>
                  <w:tcW w:w="741" w:type="dxa"/>
                  <w:gridSpan w:val="2"/>
                  <w:vMerge w:val="continue"/>
                  <w:tcBorders>
                    <w:tl2br w:val="nil"/>
                    <w:tr2bl w:val="nil"/>
                  </w:tcBorders>
                  <w:vAlign w:val="center"/>
                </w:tcPr>
                <w:p w14:paraId="436D2A12">
                  <w:pPr>
                    <w:pStyle w:val="24"/>
                    <w:rPr>
                      <w:rFonts w:hint="eastAsia"/>
                    </w:rPr>
                  </w:pPr>
                </w:p>
              </w:tc>
            </w:tr>
            <w:tr w14:paraId="013C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5" w:hRule="atLeast"/>
              </w:trPr>
              <w:tc>
                <w:tcPr>
                  <w:tcW w:w="426" w:type="dxa"/>
                  <w:vMerge w:val="continue"/>
                  <w:tcBorders>
                    <w:tl2br w:val="nil"/>
                    <w:tr2bl w:val="nil"/>
                  </w:tcBorders>
                  <w:vAlign w:val="center"/>
                </w:tcPr>
                <w:p w14:paraId="0B356B12">
                  <w:pPr>
                    <w:pStyle w:val="24"/>
                    <w:rPr>
                      <w:rFonts w:hint="eastAsia"/>
                    </w:rPr>
                  </w:pPr>
                </w:p>
              </w:tc>
              <w:tc>
                <w:tcPr>
                  <w:tcW w:w="409" w:type="dxa"/>
                  <w:vMerge w:val="restart"/>
                  <w:tcBorders>
                    <w:tl2br w:val="nil"/>
                    <w:tr2bl w:val="nil"/>
                  </w:tcBorders>
                  <w:vAlign w:val="center"/>
                </w:tcPr>
                <w:p w14:paraId="3ACF00A9">
                  <w:pPr>
                    <w:pStyle w:val="24"/>
                    <w:rPr>
                      <w:rFonts w:hint="eastAsia"/>
                    </w:rPr>
                  </w:pPr>
                  <w:r>
                    <w:rPr>
                      <w:rFonts w:hint="eastAsia"/>
                      <w:lang w:val="en-US" w:eastAsia="zh-CN"/>
                    </w:rPr>
                    <w:t>污染物排放管控</w:t>
                  </w:r>
                </w:p>
              </w:tc>
              <w:tc>
                <w:tcPr>
                  <w:tcW w:w="3593" w:type="dxa"/>
                  <w:tcBorders>
                    <w:tl2br w:val="nil"/>
                    <w:tr2bl w:val="nil"/>
                  </w:tcBorders>
                  <w:vAlign w:val="center"/>
                </w:tcPr>
                <w:p w14:paraId="7B16AF2F">
                  <w:pPr>
                    <w:pStyle w:val="24"/>
                    <w:jc w:val="left"/>
                    <w:rPr>
                      <w:rFonts w:hint="default"/>
                    </w:rPr>
                  </w:pPr>
                  <w:r>
                    <w:rPr>
                      <w:rFonts w:hint="default"/>
                      <w:lang w:val="en-US" w:eastAsia="zh-CN"/>
                    </w:rPr>
                    <w:t>1.建设项目新增的主要污染物排放量应按要求实行等量或倍量替代。涉及总磷排放的建设项目应按照要求实行总磷排放量倍量或等量削减替代。涉及重金属重点行业建设项目新增的重点重</w:t>
                  </w:r>
                  <w:r>
                    <w:rPr>
                      <w:rFonts w:hint="default" w:ascii="Times New Roman" w:hAnsi="Times New Roman" w:cs="Times New Roman"/>
                      <w:lang w:val="en-US" w:eastAsia="zh-CN"/>
                    </w:rPr>
                    <w:t>金属污染物应按要求实行“减量置换”或“等量替换”。涉新增VOCs排放项目，VOCs排放实行区域内等量替代，福州、厦门、漳州、泉州、莆田、宁德等 6 个重点控制区可实施倍量替代。</w:t>
                  </w:r>
                </w:p>
              </w:tc>
              <w:tc>
                <w:tcPr>
                  <w:tcW w:w="1629" w:type="dxa"/>
                  <w:tcBorders>
                    <w:tl2br w:val="nil"/>
                    <w:tr2bl w:val="nil"/>
                  </w:tcBorders>
                  <w:vAlign w:val="center"/>
                </w:tcPr>
                <w:p w14:paraId="376AC304">
                  <w:pPr>
                    <w:pStyle w:val="24"/>
                    <w:jc w:val="both"/>
                    <w:rPr>
                      <w:rFonts w:hint="eastAsia"/>
                    </w:rPr>
                  </w:pPr>
                  <w:r>
                    <w:rPr>
                      <w:rFonts w:hint="eastAsia"/>
                      <w:lang w:val="en-US" w:eastAsia="zh-CN"/>
                    </w:rPr>
                    <w:t>项目按规范落实有机废气处理设施，</w:t>
                  </w:r>
                  <w:r>
                    <w:rPr>
                      <w:rFonts w:hint="default"/>
                      <w:lang w:val="en-US" w:eastAsia="zh-CN"/>
                    </w:rPr>
                    <w:t>VOCs排放实施倍量替代</w:t>
                  </w:r>
                </w:p>
              </w:tc>
              <w:tc>
                <w:tcPr>
                  <w:tcW w:w="741" w:type="dxa"/>
                  <w:gridSpan w:val="2"/>
                  <w:vMerge w:val="restart"/>
                  <w:tcBorders>
                    <w:tl2br w:val="nil"/>
                    <w:tr2bl w:val="nil"/>
                  </w:tcBorders>
                  <w:vAlign w:val="center"/>
                </w:tcPr>
                <w:p w14:paraId="1CD20F4A">
                  <w:pPr>
                    <w:pStyle w:val="24"/>
                    <w:rPr>
                      <w:rFonts w:hint="eastAsia"/>
                    </w:rPr>
                  </w:pPr>
                  <w:r>
                    <w:rPr>
                      <w:rFonts w:hint="eastAsia"/>
                      <w:lang w:val="en-US" w:eastAsia="zh-CN"/>
                    </w:rPr>
                    <w:t>符合</w:t>
                  </w:r>
                </w:p>
              </w:tc>
            </w:tr>
            <w:tr w14:paraId="6D2D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426" w:type="dxa"/>
                  <w:vMerge w:val="continue"/>
                  <w:tcBorders>
                    <w:tl2br w:val="nil"/>
                    <w:tr2bl w:val="nil"/>
                  </w:tcBorders>
                  <w:vAlign w:val="center"/>
                </w:tcPr>
                <w:p w14:paraId="291A97FC">
                  <w:pPr>
                    <w:pStyle w:val="24"/>
                    <w:rPr>
                      <w:rFonts w:hint="eastAsia"/>
                    </w:rPr>
                  </w:pPr>
                </w:p>
              </w:tc>
              <w:tc>
                <w:tcPr>
                  <w:tcW w:w="409" w:type="dxa"/>
                  <w:vMerge w:val="continue"/>
                  <w:tcBorders>
                    <w:tl2br w:val="nil"/>
                    <w:tr2bl w:val="nil"/>
                  </w:tcBorders>
                  <w:vAlign w:val="center"/>
                </w:tcPr>
                <w:p w14:paraId="11036BF4">
                  <w:pPr>
                    <w:pStyle w:val="24"/>
                    <w:rPr>
                      <w:rFonts w:hint="eastAsia"/>
                    </w:rPr>
                  </w:pPr>
                </w:p>
              </w:tc>
              <w:tc>
                <w:tcPr>
                  <w:tcW w:w="3593" w:type="dxa"/>
                  <w:tcBorders>
                    <w:tl2br w:val="nil"/>
                    <w:tr2bl w:val="nil"/>
                  </w:tcBorders>
                  <w:vAlign w:val="center"/>
                </w:tcPr>
                <w:p w14:paraId="36A2E2B5">
                  <w:pPr>
                    <w:pStyle w:val="24"/>
                    <w:jc w:val="left"/>
                    <w:rPr>
                      <w:rFonts w:hint="default"/>
                    </w:rPr>
                  </w:pPr>
                  <w:r>
                    <w:rPr>
                      <w:rFonts w:hint="default"/>
                      <w:lang w:val="en-US" w:eastAsia="zh-CN"/>
                    </w:rPr>
                    <w:t>2.新建水泥、有色金属项目应执行大气污染物特别排放限值，钢铁项目应执行超低排放指标要求，火电项目应达到超低排放限值。</w:t>
                  </w:r>
                </w:p>
              </w:tc>
              <w:tc>
                <w:tcPr>
                  <w:tcW w:w="1629" w:type="dxa"/>
                  <w:tcBorders>
                    <w:tl2br w:val="nil"/>
                    <w:tr2bl w:val="nil"/>
                  </w:tcBorders>
                  <w:vAlign w:val="center"/>
                </w:tcPr>
                <w:p w14:paraId="0F77DDE8">
                  <w:pPr>
                    <w:pStyle w:val="24"/>
                    <w:jc w:val="both"/>
                    <w:rPr>
                      <w:rFonts w:hint="eastAsia"/>
                    </w:rPr>
                  </w:pPr>
                  <w:r>
                    <w:rPr>
                      <w:rFonts w:hint="eastAsia"/>
                      <w:lang w:val="en-US" w:eastAsia="zh-CN"/>
                    </w:rPr>
                    <w:t>项目从木质家具制造不属于文中应执行大气污染物特别排放限值、超低排放指标要求的项目。</w:t>
                  </w:r>
                </w:p>
              </w:tc>
              <w:tc>
                <w:tcPr>
                  <w:tcW w:w="741" w:type="dxa"/>
                  <w:gridSpan w:val="2"/>
                  <w:vMerge w:val="continue"/>
                  <w:tcBorders>
                    <w:tl2br w:val="nil"/>
                    <w:tr2bl w:val="nil"/>
                  </w:tcBorders>
                  <w:vAlign w:val="center"/>
                </w:tcPr>
                <w:p w14:paraId="39E95A82">
                  <w:pPr>
                    <w:pStyle w:val="24"/>
                    <w:rPr>
                      <w:rFonts w:hint="eastAsia"/>
                    </w:rPr>
                  </w:pPr>
                </w:p>
              </w:tc>
            </w:tr>
            <w:tr w14:paraId="1FA6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426" w:type="dxa"/>
                  <w:vMerge w:val="continue"/>
                  <w:tcBorders>
                    <w:tl2br w:val="nil"/>
                    <w:tr2bl w:val="nil"/>
                  </w:tcBorders>
                  <w:vAlign w:val="center"/>
                </w:tcPr>
                <w:p w14:paraId="6D836EF2">
                  <w:pPr>
                    <w:pStyle w:val="24"/>
                    <w:rPr>
                      <w:rFonts w:hint="eastAsia"/>
                    </w:rPr>
                  </w:pPr>
                </w:p>
              </w:tc>
              <w:tc>
                <w:tcPr>
                  <w:tcW w:w="409" w:type="dxa"/>
                  <w:vMerge w:val="continue"/>
                  <w:tcBorders>
                    <w:tl2br w:val="nil"/>
                    <w:tr2bl w:val="nil"/>
                  </w:tcBorders>
                  <w:vAlign w:val="center"/>
                </w:tcPr>
                <w:p w14:paraId="55EB691F">
                  <w:pPr>
                    <w:pStyle w:val="24"/>
                    <w:rPr>
                      <w:rFonts w:hint="eastAsia"/>
                    </w:rPr>
                  </w:pPr>
                </w:p>
              </w:tc>
              <w:tc>
                <w:tcPr>
                  <w:tcW w:w="3593" w:type="dxa"/>
                  <w:tcBorders>
                    <w:tl2br w:val="nil"/>
                    <w:tr2bl w:val="nil"/>
                  </w:tcBorders>
                  <w:vAlign w:val="center"/>
                </w:tcPr>
                <w:p w14:paraId="7891CC24">
                  <w:pPr>
                    <w:pStyle w:val="24"/>
                    <w:jc w:val="left"/>
                    <w:rPr>
                      <w:rFonts w:hint="eastAsia"/>
                    </w:rPr>
                  </w:pPr>
                  <w:r>
                    <w:rPr>
                      <w:rFonts w:hint="default"/>
                      <w:lang w:val="en-US" w:eastAsia="zh-CN"/>
                    </w:rPr>
                    <w:t>3.</w:t>
                  </w:r>
                  <w:r>
                    <w:rPr>
                      <w:rFonts w:hint="eastAsia"/>
                      <w:lang w:val="en-US" w:eastAsia="zh-CN"/>
                    </w:rPr>
                    <w:t xml:space="preserve">尾水排入近岸海域汇水区域、“六江两溪”流域以及湖泊、水库等封闭、半封闭水域的城镇污水处理设施执行不低于一级 </w:t>
                  </w:r>
                  <w:r>
                    <w:rPr>
                      <w:rFonts w:hint="default"/>
                      <w:lang w:val="en-US" w:eastAsia="zh-CN"/>
                    </w:rPr>
                    <w:t>A</w:t>
                  </w:r>
                  <w:r>
                    <w:rPr>
                      <w:rFonts w:hint="eastAsia"/>
                      <w:lang w:val="en-US" w:eastAsia="zh-CN"/>
                    </w:rPr>
                    <w:t xml:space="preserve"> 排放标准。</w:t>
                  </w:r>
                </w:p>
              </w:tc>
              <w:tc>
                <w:tcPr>
                  <w:tcW w:w="1629" w:type="dxa"/>
                  <w:tcBorders>
                    <w:tl2br w:val="nil"/>
                    <w:tr2bl w:val="nil"/>
                  </w:tcBorders>
                  <w:vAlign w:val="center"/>
                </w:tcPr>
                <w:p w14:paraId="4D97E25E">
                  <w:pPr>
                    <w:pStyle w:val="24"/>
                    <w:jc w:val="both"/>
                    <w:rPr>
                      <w:rFonts w:hint="default"/>
                      <w:lang w:val="en-US"/>
                    </w:rPr>
                  </w:pPr>
                  <w:r>
                    <w:rPr>
                      <w:rFonts w:hint="default"/>
                      <w:lang w:val="en-US"/>
                    </w:rPr>
                    <w:t>项目不属于城</w:t>
                  </w:r>
                </w:p>
                <w:p w14:paraId="34883FD3">
                  <w:pPr>
                    <w:pStyle w:val="24"/>
                    <w:jc w:val="both"/>
                    <w:rPr>
                      <w:rFonts w:hint="default"/>
                      <w:lang w:val="en-US"/>
                    </w:rPr>
                  </w:pPr>
                  <w:r>
                    <w:rPr>
                      <w:rFonts w:hint="default"/>
                      <w:lang w:val="en-US"/>
                    </w:rPr>
                    <w:t>镇污水处理设</w:t>
                  </w:r>
                </w:p>
                <w:p w14:paraId="61417668">
                  <w:pPr>
                    <w:pStyle w:val="24"/>
                    <w:jc w:val="both"/>
                    <w:rPr>
                      <w:rFonts w:hint="default"/>
                      <w:lang w:val="en-US"/>
                    </w:rPr>
                  </w:pPr>
                  <w:r>
                    <w:rPr>
                      <w:rFonts w:hint="default"/>
                      <w:lang w:val="en-US"/>
                    </w:rPr>
                    <w:t>施项目</w:t>
                  </w:r>
                </w:p>
              </w:tc>
              <w:tc>
                <w:tcPr>
                  <w:tcW w:w="741" w:type="dxa"/>
                  <w:gridSpan w:val="2"/>
                  <w:vMerge w:val="continue"/>
                  <w:tcBorders>
                    <w:tl2br w:val="nil"/>
                    <w:tr2bl w:val="nil"/>
                  </w:tcBorders>
                  <w:vAlign w:val="center"/>
                </w:tcPr>
                <w:p w14:paraId="480386CD">
                  <w:pPr>
                    <w:pStyle w:val="24"/>
                    <w:rPr>
                      <w:rFonts w:hint="eastAsia"/>
                    </w:rPr>
                  </w:pPr>
                </w:p>
              </w:tc>
            </w:tr>
          </w:tbl>
          <w:p w14:paraId="69337FF1">
            <w:pPr>
              <w:pStyle w:val="25"/>
              <w:widowControl w:val="0"/>
              <w:wordWrap/>
              <w:adjustRightInd/>
              <w:snapToGrid/>
              <w:spacing w:beforeLines="50" w:after="0" w:line="360" w:lineRule="auto"/>
              <w:ind w:left="0" w:leftChars="0" w:firstLine="0" w:firstLineChars="0"/>
              <w:jc w:val="center"/>
              <w:textAlignment w:val="auto"/>
              <w:rPr>
                <w:rFonts w:hint="default"/>
                <w:lang w:val="en-US" w:eastAsia="zh-CN"/>
              </w:rPr>
            </w:pPr>
            <w:r>
              <w:rPr>
                <w:rFonts w:hint="default"/>
                <w:lang w:val="en-US" w:eastAsia="zh-CN"/>
              </w:rPr>
              <w:t>②与《莆田市“三线一单”分区管控方案》符合性分析</w:t>
            </w:r>
          </w:p>
          <w:tbl>
            <w:tblPr>
              <w:tblStyle w:val="17"/>
              <w:tblW w:w="675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422"/>
              <w:gridCol w:w="4155"/>
              <w:gridCol w:w="959"/>
              <w:gridCol w:w="762"/>
            </w:tblGrid>
            <w:tr w14:paraId="058B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dxa"/>
                  <w:tcBorders>
                    <w:tl2br w:val="nil"/>
                    <w:tr2bl w:val="nil"/>
                  </w:tcBorders>
                  <w:vAlign w:val="center"/>
                </w:tcPr>
                <w:p w14:paraId="6CC24A59">
                  <w:pPr>
                    <w:pStyle w:val="24"/>
                    <w:jc w:val="center"/>
                    <w:rPr>
                      <w:rFonts w:hint="eastAsia"/>
                    </w:rPr>
                  </w:pPr>
                  <w:r>
                    <w:rPr>
                      <w:rFonts w:hint="eastAsia"/>
                      <w:lang w:val="en-US" w:eastAsia="zh-CN"/>
                    </w:rPr>
                    <w:t>适用范围</w:t>
                  </w:r>
                </w:p>
              </w:tc>
              <w:tc>
                <w:tcPr>
                  <w:tcW w:w="4577" w:type="dxa"/>
                  <w:gridSpan w:val="2"/>
                  <w:tcBorders>
                    <w:tl2br w:val="nil"/>
                    <w:tr2bl w:val="nil"/>
                  </w:tcBorders>
                  <w:vAlign w:val="center"/>
                </w:tcPr>
                <w:p w14:paraId="1F7EB282">
                  <w:pPr>
                    <w:ind w:left="0" w:leftChars="0" w:firstLine="0" w:firstLineChars="0"/>
                    <w:jc w:val="center"/>
                    <w:rPr>
                      <w:rFonts w:hint="eastAsia"/>
                    </w:rPr>
                  </w:pPr>
                  <w:r>
                    <w:rPr>
                      <w:rFonts w:hint="eastAsia"/>
                      <w:lang w:val="en-US" w:eastAsia="zh-CN"/>
                    </w:rPr>
                    <w:t>准入要求</w:t>
                  </w:r>
                </w:p>
              </w:tc>
              <w:tc>
                <w:tcPr>
                  <w:tcW w:w="959" w:type="dxa"/>
                  <w:tcBorders>
                    <w:tl2br w:val="nil"/>
                    <w:tr2bl w:val="nil"/>
                  </w:tcBorders>
                  <w:vAlign w:val="center"/>
                </w:tcPr>
                <w:p w14:paraId="38349BDE">
                  <w:pPr>
                    <w:pStyle w:val="24"/>
                    <w:rPr>
                      <w:rFonts w:hint="eastAsia"/>
                    </w:rPr>
                  </w:pPr>
                  <w:r>
                    <w:rPr>
                      <w:rFonts w:hint="eastAsia"/>
                      <w:lang w:val="en-US" w:eastAsia="zh-CN"/>
                    </w:rPr>
                    <w:t>本项目相关情况</w:t>
                  </w:r>
                </w:p>
              </w:tc>
              <w:tc>
                <w:tcPr>
                  <w:tcW w:w="762" w:type="dxa"/>
                  <w:tcBorders>
                    <w:tl2br w:val="nil"/>
                    <w:tr2bl w:val="nil"/>
                  </w:tcBorders>
                  <w:vAlign w:val="center"/>
                </w:tcPr>
                <w:p w14:paraId="6EBE13AA">
                  <w:pPr>
                    <w:pStyle w:val="24"/>
                    <w:rPr>
                      <w:rFonts w:hint="eastAsia"/>
                    </w:rPr>
                  </w:pPr>
                  <w:r>
                    <w:rPr>
                      <w:rFonts w:hint="eastAsia"/>
                      <w:lang w:val="en-US" w:eastAsia="zh-CN"/>
                    </w:rPr>
                    <w:t>符合性分析</w:t>
                  </w:r>
                </w:p>
              </w:tc>
            </w:tr>
            <w:tr w14:paraId="7226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dxa"/>
                  <w:vMerge w:val="restart"/>
                  <w:tcBorders>
                    <w:tl2br w:val="nil"/>
                    <w:tr2bl w:val="nil"/>
                  </w:tcBorders>
                  <w:vAlign w:val="center"/>
                </w:tcPr>
                <w:p w14:paraId="0278A33A">
                  <w:pPr>
                    <w:pStyle w:val="24"/>
                    <w:rPr>
                      <w:rFonts w:hint="eastAsia"/>
                    </w:rPr>
                  </w:pPr>
                  <w:r>
                    <w:rPr>
                      <w:rFonts w:hint="eastAsia"/>
                      <w:lang w:val="en-US" w:eastAsia="zh-CN"/>
                    </w:rPr>
                    <w:t>莆田市</w:t>
                  </w:r>
                </w:p>
              </w:tc>
              <w:tc>
                <w:tcPr>
                  <w:tcW w:w="422" w:type="dxa"/>
                  <w:tcBorders>
                    <w:tl2br w:val="nil"/>
                    <w:tr2bl w:val="nil"/>
                  </w:tcBorders>
                  <w:vAlign w:val="center"/>
                </w:tcPr>
                <w:p w14:paraId="48133835">
                  <w:pPr>
                    <w:pStyle w:val="24"/>
                    <w:rPr>
                      <w:rFonts w:hint="eastAsia"/>
                    </w:rPr>
                  </w:pPr>
                  <w:r>
                    <w:rPr>
                      <w:rFonts w:hint="eastAsia"/>
                      <w:lang w:val="en-US" w:eastAsia="zh-CN"/>
                    </w:rPr>
                    <w:t>空间布局约束</w:t>
                  </w:r>
                </w:p>
              </w:tc>
              <w:tc>
                <w:tcPr>
                  <w:tcW w:w="4155" w:type="dxa"/>
                  <w:tcBorders>
                    <w:tl2br w:val="nil"/>
                    <w:tr2bl w:val="nil"/>
                  </w:tcBorders>
                  <w:vAlign w:val="center"/>
                </w:tcPr>
                <w:p w14:paraId="1A7BFFBB">
                  <w:pPr>
                    <w:pStyle w:val="24"/>
                    <w:widowControl w:val="0"/>
                    <w:wordWrap/>
                    <w:adjustRightInd/>
                    <w:snapToGrid/>
                    <w:spacing w:line="240" w:lineRule="auto"/>
                    <w:jc w:val="left"/>
                    <w:textAlignment w:val="auto"/>
                    <w:rPr>
                      <w:rFonts w:hint="eastAsia"/>
                    </w:rPr>
                  </w:pPr>
                  <w:r>
                    <w:rPr>
                      <w:rFonts w:hint="eastAsia"/>
                      <w:lang w:val="en-US" w:eastAsia="zh-CN"/>
                    </w:rPr>
                    <w:t>木兰溪木兰陂以上流域范围和萩芦溪南安陂以上流域范围内禁止新（扩）建化工、涉重金属、造纸、制革、琼脂、漂染行业和以排放氨氮、总磷等为主要污染物的工业项目（污水深海排放且符合园区规划及规划环评的工业项目除外）。华林经济开发区纺织鞋服业禁止印染、染整及鞣制工艺，鼓励使用低挥发性有机物含量的原料和产品；机械加工、家具制造、工业美术等产业禁止电镀工艺；莆田高新技术产业开发区制鞋、服装及化学纤维指导等产业只进行成品加工，禁止引入原料合成企业；莆田湄洲湾(石门澳)产业园控制石化中游产业发展规模，按照规划环评要求，严格控制已内酰胺产业发展规模，加大向低污染、高附加值的下游产业延伸；湄洲湾北岸经济开发区差别化纤维等资源型产业应优先引进低能耗、低排放、高附加值的下游产业，除已批的大型煤电、热电联产和“上大压小”项目外，原则上不再新建煤电项目；仙游经济开发区北部片区的纺织鞋服业禁止印染、染整及鞣制工艺，鼓励使用低挥发性有机物含量的原料和产品，机械制造业禁止电镀和喷漆工艺，不得引进化工类项目，火车站物流中心禁止危险化学品的存储和运输，南部片区重点发展低水耗、轻污染的石化下游精细化工和化工新材料产业。</w:t>
                  </w:r>
                </w:p>
              </w:tc>
              <w:tc>
                <w:tcPr>
                  <w:tcW w:w="959" w:type="dxa"/>
                  <w:tcBorders>
                    <w:tl2br w:val="nil"/>
                    <w:tr2bl w:val="nil"/>
                  </w:tcBorders>
                  <w:vAlign w:val="center"/>
                </w:tcPr>
                <w:p w14:paraId="416DC458">
                  <w:pPr>
                    <w:pStyle w:val="24"/>
                    <w:rPr>
                      <w:rFonts w:hint="eastAsia"/>
                    </w:rPr>
                  </w:pPr>
                  <w:r>
                    <w:rPr>
                      <w:rFonts w:hint="eastAsia"/>
                      <w:lang w:val="en-US" w:eastAsia="zh-CN"/>
                    </w:rPr>
                    <w:t>本项目位于木材加工区，属于木质家具制造，不属于文中限制或禁止的相关产业</w:t>
                  </w:r>
                </w:p>
              </w:tc>
              <w:tc>
                <w:tcPr>
                  <w:tcW w:w="762" w:type="dxa"/>
                  <w:tcBorders>
                    <w:tl2br w:val="nil"/>
                    <w:tr2bl w:val="nil"/>
                  </w:tcBorders>
                  <w:vAlign w:val="center"/>
                </w:tcPr>
                <w:p w14:paraId="058F6C4D">
                  <w:pPr>
                    <w:pStyle w:val="24"/>
                    <w:rPr>
                      <w:rFonts w:hint="eastAsia"/>
                    </w:rPr>
                  </w:pPr>
                  <w:r>
                    <w:rPr>
                      <w:rFonts w:hint="eastAsia"/>
                      <w:lang w:val="en-US" w:eastAsia="zh-CN"/>
                    </w:rPr>
                    <w:t>符合</w:t>
                  </w:r>
                </w:p>
              </w:tc>
            </w:tr>
            <w:tr w14:paraId="27A4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dxa"/>
                  <w:vMerge w:val="continue"/>
                  <w:tcBorders>
                    <w:tl2br w:val="nil"/>
                    <w:tr2bl w:val="nil"/>
                  </w:tcBorders>
                  <w:vAlign w:val="center"/>
                </w:tcPr>
                <w:p w14:paraId="57F8191D">
                  <w:pPr>
                    <w:pStyle w:val="24"/>
                    <w:rPr>
                      <w:rFonts w:hint="eastAsia"/>
                    </w:rPr>
                  </w:pPr>
                </w:p>
              </w:tc>
              <w:tc>
                <w:tcPr>
                  <w:tcW w:w="422" w:type="dxa"/>
                  <w:tcBorders>
                    <w:tl2br w:val="nil"/>
                    <w:tr2bl w:val="nil"/>
                  </w:tcBorders>
                  <w:vAlign w:val="center"/>
                </w:tcPr>
                <w:p w14:paraId="4331B825">
                  <w:pPr>
                    <w:pStyle w:val="24"/>
                    <w:rPr>
                      <w:rFonts w:hint="eastAsia"/>
                    </w:rPr>
                  </w:pPr>
                  <w:r>
                    <w:rPr>
                      <w:rFonts w:hint="eastAsia"/>
                      <w:lang w:val="en-US" w:eastAsia="zh-CN"/>
                    </w:rPr>
                    <w:t>污染物排放管控</w:t>
                  </w:r>
                </w:p>
              </w:tc>
              <w:tc>
                <w:tcPr>
                  <w:tcW w:w="4155" w:type="dxa"/>
                  <w:tcBorders>
                    <w:tl2br w:val="nil"/>
                    <w:tr2bl w:val="nil"/>
                  </w:tcBorders>
                  <w:vAlign w:val="center"/>
                </w:tcPr>
                <w:p w14:paraId="59128672">
                  <w:pPr>
                    <w:pStyle w:val="24"/>
                    <w:widowControl w:val="0"/>
                    <w:wordWrap/>
                    <w:adjustRightInd/>
                    <w:snapToGrid/>
                    <w:spacing w:line="240" w:lineRule="auto"/>
                    <w:jc w:val="left"/>
                    <w:textAlignment w:val="auto"/>
                    <w:rPr>
                      <w:rFonts w:hint="default"/>
                      <w:lang w:val="en-US" w:eastAsia="zh-CN"/>
                    </w:rPr>
                  </w:pPr>
                  <w:r>
                    <w:rPr>
                      <w:rFonts w:hint="default"/>
                      <w:lang w:val="en-US" w:eastAsia="zh-CN"/>
                    </w:rPr>
                    <w:t>1.</w:t>
                  </w:r>
                  <w:r>
                    <w:rPr>
                      <w:rFonts w:hint="eastAsia"/>
                      <w:lang w:val="en-US" w:eastAsia="zh-CN"/>
                    </w:rPr>
                    <w:t>加快推进环湄洲湾北岸尾水排放管道建设，实现北岸区域污水由湾外文甲外排污口深水排放。</w:t>
                  </w:r>
                </w:p>
                <w:p w14:paraId="05BE0663">
                  <w:pPr>
                    <w:pStyle w:val="24"/>
                    <w:widowControl w:val="0"/>
                    <w:wordWrap/>
                    <w:adjustRightInd/>
                    <w:snapToGrid/>
                    <w:spacing w:line="240" w:lineRule="auto"/>
                    <w:jc w:val="left"/>
                    <w:textAlignment w:val="auto"/>
                    <w:rPr>
                      <w:rFonts w:hint="default"/>
                      <w:lang w:val="en-US" w:eastAsia="zh-CN"/>
                    </w:rPr>
                  </w:pPr>
                  <w:r>
                    <w:rPr>
                      <w:rFonts w:hint="default"/>
                      <w:lang w:val="en-US" w:eastAsia="zh-CN"/>
                    </w:rPr>
                    <w:t>2.</w:t>
                  </w:r>
                  <w:r>
                    <w:rPr>
                      <w:rFonts w:hint="eastAsia"/>
                      <w:lang w:val="en-US" w:eastAsia="zh-CN"/>
                    </w:rPr>
                    <w:t>兴化湾实行主要污染物入海总量控制，控制萩芦溪、木兰溪入海断面水质，削减氮磷入海量。</w:t>
                  </w:r>
                </w:p>
                <w:p w14:paraId="00891D7A">
                  <w:pPr>
                    <w:pStyle w:val="24"/>
                    <w:widowControl w:val="0"/>
                    <w:wordWrap/>
                    <w:adjustRightInd/>
                    <w:snapToGrid/>
                    <w:spacing w:line="240" w:lineRule="auto"/>
                    <w:jc w:val="left"/>
                    <w:textAlignment w:val="auto"/>
                    <w:rPr>
                      <w:rFonts w:hint="default"/>
                      <w:lang w:val="en-US" w:eastAsia="zh-CN"/>
                    </w:rPr>
                  </w:pPr>
                  <w:r>
                    <w:rPr>
                      <w:rFonts w:hint="default"/>
                      <w:lang w:val="en-US" w:eastAsia="zh-CN"/>
                    </w:rPr>
                    <w:t>3.</w:t>
                  </w:r>
                  <w:r>
                    <w:rPr>
                      <w:rFonts w:hint="eastAsia"/>
                      <w:lang w:val="en-US" w:eastAsia="zh-CN"/>
                    </w:rPr>
                    <w:t>全面完成各类入海排污口排查、监测和溯源，系统推进入海排污口分类整治。强化三江口沿岸超标、非法及设置不合理入海排污口的排查整治。</w:t>
                  </w:r>
                </w:p>
                <w:p w14:paraId="76979403">
                  <w:pPr>
                    <w:pStyle w:val="24"/>
                    <w:widowControl w:val="0"/>
                    <w:wordWrap/>
                    <w:adjustRightInd/>
                    <w:snapToGrid/>
                    <w:spacing w:line="240" w:lineRule="auto"/>
                    <w:jc w:val="left"/>
                    <w:textAlignment w:val="auto"/>
                    <w:rPr>
                      <w:rFonts w:hint="default"/>
                      <w:lang w:val="en-US" w:eastAsia="zh-CN"/>
                    </w:rPr>
                  </w:pPr>
                  <w:r>
                    <w:rPr>
                      <w:rFonts w:hint="default"/>
                      <w:lang w:val="en-US" w:eastAsia="zh-CN"/>
                    </w:rPr>
                    <w:t>4.</w:t>
                  </w:r>
                  <w:r>
                    <w:rPr>
                      <w:rFonts w:hint="eastAsia"/>
                      <w:lang w:val="en-US" w:eastAsia="zh-CN"/>
                    </w:rPr>
                    <w:t>兴化湾沿岸积极推进污水治理管网改造工程实施，完善生活污水处理设施建设。提升沿海乡镇和农村生活污水收集处理率。</w:t>
                  </w:r>
                </w:p>
                <w:p w14:paraId="115B18AE">
                  <w:pPr>
                    <w:pStyle w:val="24"/>
                    <w:widowControl w:val="0"/>
                    <w:wordWrap/>
                    <w:adjustRightInd/>
                    <w:snapToGrid/>
                    <w:spacing w:line="240" w:lineRule="auto"/>
                    <w:jc w:val="left"/>
                    <w:textAlignment w:val="auto"/>
                    <w:rPr>
                      <w:rFonts w:hint="default"/>
                      <w:lang w:val="en-US" w:eastAsia="zh-CN"/>
                    </w:rPr>
                  </w:pPr>
                  <w:r>
                    <w:rPr>
                      <w:rFonts w:hint="default"/>
                      <w:lang w:val="en-US" w:eastAsia="zh-CN"/>
                    </w:rPr>
                    <w:t>5.</w:t>
                  </w:r>
                  <w:r>
                    <w:rPr>
                      <w:rFonts w:hint="eastAsia"/>
                      <w:lang w:val="en-US" w:eastAsia="zh-CN"/>
                    </w:rPr>
                    <w:t>近岸海域汇水区域内的城镇生活污水处理厂和工业区污水集中处理厂应具备脱氮除磷设施，达到城镇污水处理厂一级</w:t>
                  </w:r>
                  <w:r>
                    <w:rPr>
                      <w:rFonts w:hint="default"/>
                      <w:lang w:val="en-US" w:eastAsia="zh-CN"/>
                    </w:rPr>
                    <w:t>A</w:t>
                  </w:r>
                  <w:r>
                    <w:rPr>
                      <w:rFonts w:hint="eastAsia"/>
                      <w:lang w:val="en-US" w:eastAsia="zh-CN"/>
                    </w:rPr>
                    <w:t>及以上标准，并满足相关行业污水排放标准要求。</w:t>
                  </w:r>
                </w:p>
                <w:p w14:paraId="3A259A9A">
                  <w:pPr>
                    <w:pStyle w:val="24"/>
                    <w:widowControl w:val="0"/>
                    <w:wordWrap/>
                    <w:adjustRightInd/>
                    <w:snapToGrid/>
                    <w:spacing w:line="240" w:lineRule="auto"/>
                    <w:jc w:val="left"/>
                    <w:textAlignment w:val="auto"/>
                    <w:rPr>
                      <w:rFonts w:hint="default"/>
                      <w:lang w:val="en-US" w:eastAsia="zh-CN"/>
                    </w:rPr>
                  </w:pPr>
                  <w:r>
                    <w:rPr>
                      <w:rFonts w:hint="default"/>
                      <w:lang w:val="en-US" w:eastAsia="zh-CN"/>
                    </w:rPr>
                    <w:t>6.</w:t>
                  </w:r>
                  <w:r>
                    <w:rPr>
                      <w:rFonts w:hint="eastAsia"/>
                      <w:lang w:val="en-US" w:eastAsia="zh-CN"/>
                    </w:rPr>
                    <w:t>建立海上环卫队伍，实现海滩海面常态化清理保洁，强化渔业垃圾等管控，强化重点岸段的监视监控，定期开展专项整治行动。</w:t>
                  </w:r>
                </w:p>
                <w:p w14:paraId="2D3655E8">
                  <w:pPr>
                    <w:pStyle w:val="24"/>
                    <w:widowControl w:val="0"/>
                    <w:wordWrap/>
                    <w:adjustRightInd/>
                    <w:snapToGrid/>
                    <w:spacing w:line="240" w:lineRule="auto"/>
                    <w:jc w:val="left"/>
                    <w:textAlignment w:val="auto"/>
                    <w:rPr>
                      <w:rFonts w:hint="default"/>
                      <w:lang w:val="en-US" w:eastAsia="zh-CN"/>
                    </w:rPr>
                  </w:pPr>
                  <w:r>
                    <w:rPr>
                      <w:rFonts w:hint="default"/>
                      <w:lang w:val="en-US" w:eastAsia="zh-CN"/>
                    </w:rPr>
                    <w:t>7.</w:t>
                  </w:r>
                  <w:r>
                    <w:rPr>
                      <w:rFonts w:hint="eastAsia"/>
                      <w:lang w:val="en-US" w:eastAsia="zh-CN"/>
                    </w:rPr>
                    <w:t>控制养殖规模和密度，发展生态养殖，推进传统养殖设施的升级改造，强化养殖尾水治理和监管。</w:t>
                  </w:r>
                </w:p>
                <w:p w14:paraId="33C51828">
                  <w:pPr>
                    <w:pStyle w:val="24"/>
                    <w:jc w:val="left"/>
                    <w:rPr>
                      <w:rFonts w:hint="eastAsia"/>
                    </w:rPr>
                  </w:pPr>
                  <w:r>
                    <w:rPr>
                      <w:rFonts w:hint="default"/>
                      <w:lang w:val="en-US" w:eastAsia="zh-CN"/>
                    </w:rPr>
                    <w:t>8.</w:t>
                  </w:r>
                  <w:r>
                    <w:rPr>
                      <w:rFonts w:hint="eastAsia"/>
                      <w:lang w:val="en-US" w:eastAsia="zh-CN"/>
                    </w:rPr>
                    <w:t>强化陆海污染联防联控，推动“蓝色海湾”整治项目、海岸带生态保护修复工程等重大工程建设，推进沿海岸线自然化和生态保护修复。</w:t>
                  </w:r>
                </w:p>
              </w:tc>
              <w:tc>
                <w:tcPr>
                  <w:tcW w:w="959" w:type="dxa"/>
                  <w:tcBorders>
                    <w:tl2br w:val="nil"/>
                    <w:tr2bl w:val="nil"/>
                  </w:tcBorders>
                  <w:vAlign w:val="center"/>
                </w:tcPr>
                <w:p w14:paraId="74E9BDCA">
                  <w:pPr>
                    <w:pStyle w:val="24"/>
                    <w:rPr>
                      <w:rFonts w:hint="default"/>
                      <w:lang w:val="en-US" w:eastAsia="zh-CN"/>
                    </w:rPr>
                  </w:pPr>
                  <w:r>
                    <w:rPr>
                      <w:rFonts w:hint="eastAsia"/>
                      <w:lang w:val="en-US" w:eastAsia="zh-CN"/>
                    </w:rPr>
                    <w:t>项目所在位置污水处理设施完善，生活污水经化粪池处理后，排入市政污水管网纳入秀屿区港城污水处理厂处理可达标排放</w:t>
                  </w:r>
                </w:p>
              </w:tc>
              <w:tc>
                <w:tcPr>
                  <w:tcW w:w="762" w:type="dxa"/>
                  <w:tcBorders>
                    <w:tl2br w:val="nil"/>
                    <w:tr2bl w:val="nil"/>
                  </w:tcBorders>
                  <w:vAlign w:val="center"/>
                </w:tcPr>
                <w:p w14:paraId="757BCD4B">
                  <w:pPr>
                    <w:pStyle w:val="24"/>
                    <w:rPr>
                      <w:rFonts w:hint="eastAsia"/>
                    </w:rPr>
                  </w:pPr>
                  <w:r>
                    <w:rPr>
                      <w:rFonts w:hint="eastAsia"/>
                      <w:lang w:val="en-US" w:eastAsia="zh-CN"/>
                    </w:rPr>
                    <w:t>符合</w:t>
                  </w:r>
                </w:p>
              </w:tc>
            </w:tr>
            <w:tr w14:paraId="7879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0" w:type="dxa"/>
                  <w:vMerge w:val="restart"/>
                  <w:tcBorders>
                    <w:tl2br w:val="nil"/>
                    <w:tr2bl w:val="nil"/>
                  </w:tcBorders>
                  <w:vAlign w:val="center"/>
                </w:tcPr>
                <w:p w14:paraId="3F8D17AF">
                  <w:pPr>
                    <w:adjustRightInd w:val="0"/>
                    <w:snapToGrid w:val="0"/>
                    <w:spacing w:line="240" w:lineRule="exact"/>
                    <w:ind w:left="0" w:lef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秀屿国家级木材贸易加工示范区</w:t>
                  </w:r>
                </w:p>
              </w:tc>
              <w:tc>
                <w:tcPr>
                  <w:tcW w:w="422" w:type="dxa"/>
                  <w:tcBorders>
                    <w:tl2br w:val="nil"/>
                    <w:tr2bl w:val="nil"/>
                  </w:tcBorders>
                  <w:vAlign w:val="center"/>
                </w:tcPr>
                <w:p w14:paraId="3E5997B9">
                  <w:pPr>
                    <w:adjustRightInd w:val="0"/>
                    <w:snapToGrid w:val="0"/>
                    <w:spacing w:line="240" w:lineRule="exact"/>
                    <w:ind w:left="0" w:leftChars="0" w:firstLine="0" w:firstLineChars="0"/>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空间布局约束</w:t>
                  </w:r>
                </w:p>
              </w:tc>
              <w:tc>
                <w:tcPr>
                  <w:tcW w:w="4155" w:type="dxa"/>
                  <w:tcBorders>
                    <w:tl2br w:val="nil"/>
                    <w:tr2bl w:val="nil"/>
                  </w:tcBorders>
                  <w:vAlign w:val="center"/>
                </w:tcPr>
                <w:p w14:paraId="09C4F784">
                  <w:pPr>
                    <w:widowControl w:val="0"/>
                    <w:wordWrap/>
                    <w:adjustRightInd w:val="0"/>
                    <w:snapToGrid w:val="0"/>
                    <w:spacing w:line="240" w:lineRule="auto"/>
                    <w:ind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1.优先引入木基复合材料及结构用人造板技术开发，木质复合材料、竹质工程材料生产及综合利用，废旧木材等资源循环利用基地建设等项目。</w:t>
                  </w:r>
                </w:p>
                <w:p w14:paraId="7F1B7849">
                  <w:pPr>
                    <w:widowControl w:val="0"/>
                    <w:wordWrap/>
                    <w:adjustRightInd w:val="0"/>
                    <w:snapToGrid w:val="0"/>
                    <w:spacing w:line="240" w:lineRule="auto"/>
                    <w:ind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2.纺织业禁止引入纯印染、皮革生产企业。</w:t>
                  </w:r>
                </w:p>
                <w:p w14:paraId="689DB139">
                  <w:pPr>
                    <w:widowControl w:val="0"/>
                    <w:wordWrap/>
                    <w:adjustRightInd w:val="0"/>
                    <w:snapToGrid w:val="0"/>
                    <w:spacing w:line="240" w:lineRule="auto"/>
                    <w:ind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3.新建企业应与盐田之间满足500米的防护距离。</w:t>
                  </w:r>
                </w:p>
                <w:p w14:paraId="275D447A">
                  <w:pPr>
                    <w:widowControl w:val="0"/>
                    <w:wordWrap/>
                    <w:spacing w:line="240" w:lineRule="auto"/>
                    <w:ind w:left="0" w:leftChars="0" w:firstLine="0" w:firstLineChars="0"/>
                    <w:jc w:val="left"/>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4.居住用地与工业用地之间应设置空间隔离带。</w:t>
                  </w:r>
                </w:p>
              </w:tc>
              <w:tc>
                <w:tcPr>
                  <w:tcW w:w="959" w:type="dxa"/>
                  <w:tcBorders>
                    <w:tl2br w:val="nil"/>
                    <w:tr2bl w:val="nil"/>
                  </w:tcBorders>
                  <w:vAlign w:val="center"/>
                </w:tcPr>
                <w:p w14:paraId="1C2220DD">
                  <w:pPr>
                    <w:adjustRightInd w:val="0"/>
                    <w:snapToGrid w:val="0"/>
                    <w:ind w:left="0" w:leftChars="0" w:firstLine="0" w:firstLineChars="0"/>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项目位于秀屿区东峤镇前沁村前沁1133号，选址满足文中相应要求</w:t>
                  </w:r>
                </w:p>
              </w:tc>
              <w:tc>
                <w:tcPr>
                  <w:tcW w:w="762" w:type="dxa"/>
                  <w:tcBorders>
                    <w:tl2br w:val="nil"/>
                    <w:tr2bl w:val="nil"/>
                  </w:tcBorders>
                  <w:vAlign w:val="center"/>
                </w:tcPr>
                <w:p w14:paraId="3FFD6675">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符合</w:t>
                  </w:r>
                </w:p>
              </w:tc>
            </w:tr>
            <w:tr w14:paraId="3899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460" w:type="dxa"/>
                  <w:vMerge w:val="continue"/>
                  <w:tcBorders>
                    <w:tl2br w:val="nil"/>
                    <w:tr2bl w:val="nil"/>
                  </w:tcBorders>
                  <w:vAlign w:val="center"/>
                </w:tcPr>
                <w:p w14:paraId="49FDACFE">
                  <w:pPr>
                    <w:adjustRightInd w:val="0"/>
                    <w:snapToGrid w:val="0"/>
                    <w:spacing w:line="240" w:lineRule="exact"/>
                    <w:ind w:left="0" w:leftChars="0" w:firstLine="0" w:firstLineChars="0"/>
                    <w:jc w:val="both"/>
                    <w:rPr>
                      <w:rFonts w:hint="default" w:ascii="Times New Roman" w:hAnsi="Times New Roman" w:cs="Times New Roman"/>
                      <w:sz w:val="18"/>
                      <w:szCs w:val="18"/>
                      <w:lang w:val="en-US" w:eastAsia="zh-CN"/>
                    </w:rPr>
                  </w:pPr>
                </w:p>
              </w:tc>
              <w:tc>
                <w:tcPr>
                  <w:tcW w:w="422" w:type="dxa"/>
                  <w:tcBorders>
                    <w:tl2br w:val="nil"/>
                    <w:tr2bl w:val="nil"/>
                  </w:tcBorders>
                  <w:vAlign w:val="center"/>
                </w:tcPr>
                <w:p w14:paraId="3730349E">
                  <w:pPr>
                    <w:ind w:left="0" w:lef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rPr>
                    <w:t>污染物排放管控</w:t>
                  </w:r>
                </w:p>
              </w:tc>
              <w:tc>
                <w:tcPr>
                  <w:tcW w:w="4155" w:type="dxa"/>
                  <w:tcBorders>
                    <w:tl2br w:val="nil"/>
                    <w:tr2bl w:val="nil"/>
                  </w:tcBorders>
                  <w:vAlign w:val="center"/>
                </w:tcPr>
                <w:p w14:paraId="0D6866DB">
                  <w:pPr>
                    <w:widowControl w:val="0"/>
                    <w:wordWrap/>
                    <w:adjustRightInd w:val="0"/>
                    <w:snapToGrid w:val="0"/>
                    <w:ind w:firstLine="0" w:firstLineChars="0"/>
                    <w:jc w:val="left"/>
                    <w:textAlignment w:val="auto"/>
                    <w:rPr>
                      <w:rFonts w:hint="default" w:ascii="Times New Roman" w:hAnsi="Times New Roman" w:cs="Times New Roman"/>
                      <w:sz w:val="18"/>
                      <w:szCs w:val="18"/>
                    </w:rPr>
                  </w:pPr>
                  <w:r>
                    <w:rPr>
                      <w:rFonts w:hint="default" w:ascii="Times New Roman" w:hAnsi="Times New Roman" w:cs="Times New Roman"/>
                      <w:sz w:val="18"/>
                      <w:szCs w:val="18"/>
                    </w:rPr>
                    <w:t>1.推广使用低毒、低挥发性溶剂。木材加工行业应重点加强干燥、涂胶、热压过程VOCs排放治理。</w:t>
                  </w:r>
                </w:p>
                <w:p w14:paraId="4FB990B0">
                  <w:pPr>
                    <w:widowControl w:val="0"/>
                    <w:wordWrap/>
                    <w:adjustRightInd w:val="0"/>
                    <w:snapToGrid w:val="0"/>
                    <w:ind w:firstLine="0" w:firstLineChars="0"/>
                    <w:jc w:val="left"/>
                    <w:textAlignment w:val="auto"/>
                    <w:rPr>
                      <w:rFonts w:hint="default" w:ascii="Times New Roman" w:hAnsi="Times New Roman" w:cs="Times New Roman"/>
                      <w:sz w:val="18"/>
                      <w:szCs w:val="18"/>
                    </w:rPr>
                  </w:pPr>
                  <w:r>
                    <w:rPr>
                      <w:rFonts w:hint="default" w:ascii="Times New Roman" w:hAnsi="Times New Roman" w:cs="Times New Roman"/>
                      <w:sz w:val="18"/>
                      <w:szCs w:val="18"/>
                    </w:rPr>
                    <w:t>2.园区内生活污水全收集全处理，工业企业的污水接管率达到100%。</w:t>
                  </w:r>
                </w:p>
                <w:p w14:paraId="17F752B6">
                  <w:pPr>
                    <w:widowControl w:val="0"/>
                    <w:wordWrap/>
                    <w:ind w:left="0" w:leftChars="0" w:firstLine="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3.污水全部纳入市政管网，实现向当地地表水体的“零排放”。</w:t>
                  </w:r>
                </w:p>
              </w:tc>
              <w:tc>
                <w:tcPr>
                  <w:tcW w:w="959" w:type="dxa"/>
                  <w:tcBorders>
                    <w:tl2br w:val="nil"/>
                    <w:tr2bl w:val="nil"/>
                  </w:tcBorders>
                  <w:vAlign w:val="center"/>
                </w:tcPr>
                <w:p w14:paraId="240CF29D">
                  <w:pPr>
                    <w:adjustRightInd w:val="0"/>
                    <w:snapToGrid w:val="0"/>
                    <w:ind w:left="0" w:leftChars="0" w:firstLine="0" w:firstLineChars="0"/>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厂区内污水管网配套完善。生活污水可全收集全处理</w:t>
                  </w:r>
                </w:p>
              </w:tc>
              <w:tc>
                <w:tcPr>
                  <w:tcW w:w="762" w:type="dxa"/>
                  <w:tcBorders>
                    <w:tl2br w:val="nil"/>
                    <w:tr2bl w:val="nil"/>
                  </w:tcBorders>
                  <w:vAlign w:val="center"/>
                </w:tcPr>
                <w:p w14:paraId="17A8BB46">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符合</w:t>
                  </w:r>
                </w:p>
              </w:tc>
            </w:tr>
            <w:tr w14:paraId="5038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460" w:type="dxa"/>
                  <w:vMerge w:val="continue"/>
                  <w:tcBorders>
                    <w:tl2br w:val="nil"/>
                    <w:tr2bl w:val="nil"/>
                  </w:tcBorders>
                  <w:vAlign w:val="center"/>
                </w:tcPr>
                <w:p w14:paraId="748B7C08">
                  <w:pPr>
                    <w:adjustRightInd w:val="0"/>
                    <w:snapToGrid w:val="0"/>
                    <w:spacing w:line="240" w:lineRule="exact"/>
                    <w:ind w:left="0" w:leftChars="0" w:firstLine="0" w:firstLineChars="0"/>
                    <w:jc w:val="both"/>
                    <w:rPr>
                      <w:rFonts w:hint="default" w:ascii="Times New Roman" w:hAnsi="Times New Roman" w:cs="Times New Roman"/>
                      <w:sz w:val="18"/>
                      <w:szCs w:val="18"/>
                      <w:lang w:val="en-US" w:eastAsia="zh-CN"/>
                    </w:rPr>
                  </w:pPr>
                </w:p>
              </w:tc>
              <w:tc>
                <w:tcPr>
                  <w:tcW w:w="422" w:type="dxa"/>
                  <w:tcBorders>
                    <w:tl2br w:val="nil"/>
                    <w:tr2bl w:val="nil"/>
                  </w:tcBorders>
                  <w:vAlign w:val="center"/>
                </w:tcPr>
                <w:p w14:paraId="5995FB84">
                  <w:pPr>
                    <w:ind w:left="0" w:lef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环境风险防控</w:t>
                  </w:r>
                </w:p>
              </w:tc>
              <w:tc>
                <w:tcPr>
                  <w:tcW w:w="4155" w:type="dxa"/>
                  <w:tcBorders>
                    <w:tl2br w:val="nil"/>
                    <w:tr2bl w:val="nil"/>
                  </w:tcBorders>
                  <w:vAlign w:val="center"/>
                </w:tcPr>
                <w:p w14:paraId="7A930254">
                  <w:pPr>
                    <w:widowControl w:val="0"/>
                    <w:wordWrap/>
                    <w:ind w:left="0" w:leftChars="0"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建立健全环境风险防控体系，制定环境风险应急预案，建立完善有效的环境风险防控设施和有效的拦截、降污、导流等措施，防止泄漏物和事故废水污染地表水、地下水和土壤环境。</w:t>
                  </w:r>
                </w:p>
              </w:tc>
              <w:tc>
                <w:tcPr>
                  <w:tcW w:w="959" w:type="dxa"/>
                  <w:tcBorders>
                    <w:tl2br w:val="nil"/>
                    <w:tr2bl w:val="nil"/>
                  </w:tcBorders>
                  <w:vAlign w:val="center"/>
                </w:tcPr>
                <w:p w14:paraId="443E6F23">
                  <w:pPr>
                    <w:adjustRightInd w:val="0"/>
                    <w:snapToGrid w:val="0"/>
                    <w:ind w:left="0" w:leftChars="0" w:firstLine="0" w:firstLineChars="0"/>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项目排放环境风险污染物种类少且排放量较小，无需制定环境风险应急预案，企业设置有较为完善的环境风险防控设施</w:t>
                  </w:r>
                </w:p>
              </w:tc>
              <w:tc>
                <w:tcPr>
                  <w:tcW w:w="762" w:type="dxa"/>
                  <w:tcBorders>
                    <w:tl2br w:val="nil"/>
                    <w:tr2bl w:val="nil"/>
                  </w:tcBorders>
                  <w:vAlign w:val="center"/>
                </w:tcPr>
                <w:p w14:paraId="0C03B550">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符合</w:t>
                  </w:r>
                </w:p>
              </w:tc>
            </w:tr>
            <w:tr w14:paraId="0B62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460" w:type="dxa"/>
                  <w:vMerge w:val="continue"/>
                  <w:tcBorders>
                    <w:tl2br w:val="nil"/>
                    <w:tr2bl w:val="nil"/>
                  </w:tcBorders>
                  <w:vAlign w:val="center"/>
                </w:tcPr>
                <w:p w14:paraId="406D6EF7">
                  <w:pPr>
                    <w:adjustRightInd w:val="0"/>
                    <w:snapToGrid w:val="0"/>
                    <w:spacing w:line="240" w:lineRule="exact"/>
                    <w:ind w:left="0" w:leftChars="0" w:firstLine="0" w:firstLineChars="0"/>
                    <w:jc w:val="both"/>
                    <w:rPr>
                      <w:rFonts w:hint="default" w:ascii="Times New Roman" w:hAnsi="Times New Roman" w:cs="Times New Roman"/>
                      <w:sz w:val="18"/>
                      <w:szCs w:val="18"/>
                      <w:lang w:val="en-US" w:eastAsia="zh-CN"/>
                    </w:rPr>
                  </w:pPr>
                </w:p>
              </w:tc>
              <w:tc>
                <w:tcPr>
                  <w:tcW w:w="422" w:type="dxa"/>
                  <w:tcBorders>
                    <w:tl2br w:val="nil"/>
                    <w:tr2bl w:val="nil"/>
                  </w:tcBorders>
                  <w:vAlign w:val="center"/>
                </w:tcPr>
                <w:p w14:paraId="32CCE810">
                  <w:pPr>
                    <w:ind w:left="0" w:lef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资源开发效率要求</w:t>
                  </w:r>
                </w:p>
              </w:tc>
              <w:tc>
                <w:tcPr>
                  <w:tcW w:w="4155" w:type="dxa"/>
                  <w:tcBorders>
                    <w:tl2br w:val="nil"/>
                    <w:tr2bl w:val="nil"/>
                  </w:tcBorders>
                  <w:vAlign w:val="center"/>
                </w:tcPr>
                <w:p w14:paraId="58DADA6E">
                  <w:pPr>
                    <w:adjustRightInd w:val="0"/>
                    <w:snapToGrid w:val="0"/>
                    <w:ind w:left="0" w:leftChars="0" w:firstLine="0" w:firstLineChars="0"/>
                    <w:rPr>
                      <w:rFonts w:hint="default" w:ascii="Times New Roman" w:hAnsi="Times New Roman" w:cs="Times New Roman"/>
                      <w:sz w:val="18"/>
                      <w:szCs w:val="18"/>
                    </w:rPr>
                  </w:pPr>
                  <w:r>
                    <w:rPr>
                      <w:rFonts w:hint="default" w:ascii="Times New Roman" w:hAnsi="Times New Roman" w:cs="Times New Roman"/>
                      <w:sz w:val="18"/>
                      <w:szCs w:val="18"/>
                    </w:rPr>
                    <w:t>1.新（扩、改）建工业项目能耗、产排污指标均应达到或优于国内先进水平。</w:t>
                  </w:r>
                </w:p>
                <w:p w14:paraId="28CD5A63">
                  <w:pPr>
                    <w:widowControl w:val="0"/>
                    <w:wordWrap/>
                    <w:ind w:left="0" w:leftChars="0" w:firstLine="0" w:firstLineChars="0"/>
                    <w:textAlignment w:val="auto"/>
                    <w:rPr>
                      <w:rFonts w:hint="default" w:ascii="Times New Roman" w:hAnsi="Times New Roman" w:cs="Times New Roman"/>
                      <w:sz w:val="18"/>
                      <w:szCs w:val="18"/>
                    </w:rPr>
                  </w:pPr>
                  <w:r>
                    <w:rPr>
                      <w:rFonts w:hint="default" w:ascii="Times New Roman" w:hAnsi="Times New Roman" w:cs="Times New Roman"/>
                      <w:sz w:val="18"/>
                      <w:szCs w:val="18"/>
                    </w:rPr>
                    <w:t>2.依托东峤工业园热电联产工程进行集中供热。集中供热管网覆盖地区禁止新建、扩建分散供热锅炉，已建成的分散供热锅炉要在集中供热项目建成后6个月内关停。</w:t>
                  </w:r>
                </w:p>
              </w:tc>
              <w:tc>
                <w:tcPr>
                  <w:tcW w:w="959" w:type="dxa"/>
                  <w:tcBorders>
                    <w:tl2br w:val="nil"/>
                    <w:tr2bl w:val="nil"/>
                  </w:tcBorders>
                  <w:vAlign w:val="center"/>
                </w:tcPr>
                <w:p w14:paraId="55285A6A">
                  <w:pPr>
                    <w:adjustRightInd w:val="0"/>
                    <w:snapToGrid w:val="0"/>
                    <w:ind w:left="0" w:lef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项目没有使用锅炉供热，本项目不涉及</w:t>
                  </w:r>
                </w:p>
              </w:tc>
              <w:tc>
                <w:tcPr>
                  <w:tcW w:w="762" w:type="dxa"/>
                  <w:tcBorders>
                    <w:tl2br w:val="nil"/>
                    <w:tr2bl w:val="nil"/>
                  </w:tcBorders>
                  <w:vAlign w:val="center"/>
                </w:tcPr>
                <w:p w14:paraId="0A008FE0">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符合</w:t>
                  </w:r>
                </w:p>
              </w:tc>
            </w:tr>
          </w:tbl>
          <w:p w14:paraId="3D12079F">
            <w:pPr>
              <w:pStyle w:val="23"/>
              <w:keepNext w:val="0"/>
              <w:keepLines w:val="0"/>
              <w:pageBreakBefore w:val="0"/>
              <w:widowControl/>
              <w:numPr>
                <w:ilvl w:val="0"/>
                <w:numId w:val="0"/>
              </w:numPr>
              <w:kinsoku/>
              <w:wordWrap/>
              <w:overflowPunct/>
              <w:topLinePunct w:val="0"/>
              <w:autoSpaceDE/>
              <w:autoSpaceDN/>
              <w:bidi w:val="0"/>
              <w:adjustRightInd w:val="0"/>
              <w:snapToGrid w:val="0"/>
              <w:spacing w:before="157" w:beforeLines="50" w:line="360" w:lineRule="auto"/>
              <w:jc w:val="left"/>
              <w:textAlignment w:val="auto"/>
              <w:rPr>
                <w:rFonts w:hint="default"/>
                <w:lang w:val="en-US" w:eastAsia="zh-CN"/>
              </w:rPr>
            </w:pPr>
            <w:r>
              <w:rPr>
                <w:rFonts w:hint="eastAsia"/>
                <w:lang w:val="en-US" w:eastAsia="zh-CN"/>
              </w:rPr>
              <w:t>2</w:t>
            </w:r>
            <w:r>
              <w:rPr>
                <w:rFonts w:hint="default"/>
                <w:lang w:val="en-US" w:eastAsia="zh-CN"/>
              </w:rPr>
              <w:t>、</w:t>
            </w:r>
            <w:r>
              <w:rPr>
                <w:rFonts w:hint="eastAsia"/>
                <w:lang w:val="en-US" w:eastAsia="zh-CN"/>
              </w:rPr>
              <w:t>产业政策的符合性分析</w:t>
            </w:r>
          </w:p>
          <w:p w14:paraId="580D8EAF">
            <w:pPr>
              <w:pStyle w:val="16"/>
              <w:widowControl w:val="0"/>
              <w:wordWrap/>
              <w:adjustRightInd/>
              <w:snapToGrid/>
              <w:spacing w:after="0" w:line="360" w:lineRule="auto"/>
              <w:ind w:left="0" w:leftChars="0" w:firstLine="420" w:firstLineChars="200"/>
              <w:textAlignment w:val="auto"/>
              <w:rPr>
                <w:rFonts w:hint="default"/>
                <w:lang w:val="en-US" w:eastAsia="zh-CN"/>
              </w:rPr>
            </w:pPr>
            <w:r>
              <w:rPr>
                <w:rFonts w:hint="default"/>
                <w:lang w:val="en-US" w:eastAsia="zh-CN"/>
              </w:rPr>
              <w:t>根据国家发改委颁布的《产业结构调整指导目录（</w:t>
            </w:r>
            <w:r>
              <w:rPr>
                <w:rFonts w:hint="eastAsia"/>
                <w:lang w:val="en-US" w:eastAsia="zh-CN"/>
              </w:rPr>
              <w:t>2024</w:t>
            </w:r>
            <w:r>
              <w:rPr>
                <w:rFonts w:hint="default"/>
                <w:lang w:val="en-US" w:eastAsia="zh-CN"/>
              </w:rPr>
              <w:t>年本）》，该项目工艺和生产设备均不在限制类和淘汰类范畴内，符合国家产业和环保政策，本项目所生产的产品及采用的工艺、设备和生产规模均不属于限制类和淘汰类，且符合国家有关法律、法规和政策的规定。</w:t>
            </w:r>
          </w:p>
          <w:p w14:paraId="5B638F4E">
            <w:pPr>
              <w:pStyle w:val="16"/>
              <w:widowControl w:val="0"/>
              <w:wordWrap/>
              <w:adjustRightInd/>
              <w:snapToGrid/>
              <w:spacing w:after="0" w:line="360" w:lineRule="auto"/>
              <w:ind w:left="0" w:leftChars="0" w:firstLine="420" w:firstLineChars="200"/>
              <w:textAlignment w:val="auto"/>
              <w:rPr>
                <w:rFonts w:hint="default"/>
                <w:lang w:val="en-US" w:eastAsia="zh-CN"/>
              </w:rPr>
            </w:pPr>
            <w:r>
              <w:rPr>
                <w:rFonts w:hint="default"/>
                <w:lang w:val="en-US" w:eastAsia="zh-CN"/>
              </w:rPr>
              <w:t>因此，本项目的建设符合国家当前的产业政策。</w:t>
            </w:r>
          </w:p>
          <w:p w14:paraId="00D65987">
            <w:pPr>
              <w:pStyle w:val="23"/>
              <w:numPr>
                <w:ilvl w:val="0"/>
                <w:numId w:val="0"/>
              </w:numPr>
              <w:spacing w:line="360" w:lineRule="auto"/>
              <w:jc w:val="left"/>
              <w:rPr>
                <w:rFonts w:hint="default"/>
                <w:lang w:val="en-US" w:eastAsia="zh-CN"/>
              </w:rPr>
            </w:pPr>
            <w:r>
              <w:rPr>
                <w:rFonts w:hint="default"/>
                <w:lang w:val="en-US" w:eastAsia="zh-CN"/>
              </w:rPr>
              <w:t>3、选址合理性分析</w:t>
            </w:r>
          </w:p>
          <w:p w14:paraId="71EE0FB6">
            <w:pPr>
              <w:pStyle w:val="15"/>
              <w:spacing w:line="360" w:lineRule="auto"/>
              <w:ind w:left="0" w:leftChars="0" w:firstLine="0" w:firstLineChars="0"/>
              <w:rPr>
                <w:rFonts w:hint="default"/>
                <w:lang w:val="en-US" w:eastAsia="zh-CN"/>
              </w:rPr>
            </w:pPr>
            <w:r>
              <w:rPr>
                <w:rFonts w:hint="default"/>
                <w:lang w:val="en-US" w:eastAsia="zh-CN"/>
              </w:rPr>
              <w:t>（1）用地性质符合性</w:t>
            </w:r>
          </w:p>
          <w:p w14:paraId="6DE4EE22">
            <w:pPr>
              <w:pStyle w:val="15"/>
              <w:spacing w:line="360" w:lineRule="auto"/>
              <w:ind w:left="0" w:leftChars="0" w:firstLine="420" w:firstLineChars="200"/>
              <w:rPr>
                <w:rFonts w:hint="default"/>
                <w:lang w:val="en-US" w:eastAsia="zh-CN"/>
              </w:rPr>
            </w:pPr>
            <w:r>
              <w:rPr>
                <w:rFonts w:hint="default"/>
                <w:lang w:val="en-US" w:eastAsia="zh-CN"/>
              </w:rPr>
              <w:t>该项目选址于莆田市秀屿木材加工区，根据出租方土地证，项目现状用地性质为工业用地。根据项目用地规划，项目规划为工业用地，故项目用地性质合理。</w:t>
            </w:r>
          </w:p>
          <w:p w14:paraId="02AB76BD">
            <w:pPr>
              <w:pStyle w:val="15"/>
              <w:spacing w:line="360" w:lineRule="auto"/>
              <w:ind w:left="0" w:leftChars="0" w:firstLine="0" w:firstLineChars="0"/>
              <w:rPr>
                <w:rFonts w:hint="default"/>
                <w:lang w:val="en-US" w:eastAsia="zh-CN"/>
              </w:rPr>
            </w:pPr>
            <w:r>
              <w:rPr>
                <w:rFonts w:hint="default"/>
                <w:lang w:val="en-US" w:eastAsia="zh-CN"/>
              </w:rPr>
              <w:t>（2）环境功能区划符合性分析</w:t>
            </w:r>
          </w:p>
          <w:p w14:paraId="48BD2C8C">
            <w:pPr>
              <w:pStyle w:val="15"/>
              <w:spacing w:line="360" w:lineRule="auto"/>
              <w:ind w:left="0" w:leftChars="0" w:firstLine="420" w:firstLineChars="200"/>
              <w:rPr>
                <w:rFonts w:hint="default"/>
                <w:lang w:val="en-US" w:eastAsia="zh-CN"/>
              </w:rPr>
            </w:pPr>
            <w:r>
              <w:rPr>
                <w:rFonts w:hint="default"/>
                <w:lang w:val="en-US" w:eastAsia="zh-CN"/>
              </w:rPr>
              <w:t>项目运营期环境空气污染排放源强低，对周围环境空气不会产生显著影响，不会改变区域环境空气质量等级，区划大气环境符合《环境空气质量标准》(GB3095-2012)及其修改单中二级标准。</w:t>
            </w:r>
          </w:p>
          <w:p w14:paraId="2ECE26AA">
            <w:pPr>
              <w:pStyle w:val="15"/>
              <w:spacing w:line="360" w:lineRule="auto"/>
              <w:ind w:left="0" w:leftChars="0" w:firstLine="420" w:firstLineChars="200"/>
              <w:rPr>
                <w:rFonts w:hint="default"/>
                <w:lang w:val="en-US" w:eastAsia="zh-CN"/>
              </w:rPr>
            </w:pPr>
            <w:r>
              <w:rPr>
                <w:rFonts w:hint="default"/>
                <w:lang w:val="en-US" w:eastAsia="zh-CN"/>
              </w:rPr>
              <w:t>本项目生产废水不外排，外排废水为生活污水，生活污水经出租方化粪池处理后通过市政污水管网排入秀屿区污水处理厂进行处理。</w:t>
            </w:r>
          </w:p>
          <w:p w14:paraId="3B014E18">
            <w:pPr>
              <w:pStyle w:val="15"/>
              <w:spacing w:line="360" w:lineRule="auto"/>
              <w:rPr>
                <w:rFonts w:hint="default"/>
                <w:lang w:val="en-US" w:eastAsia="zh-CN"/>
              </w:rPr>
            </w:pPr>
            <w:r>
              <w:rPr>
                <w:rFonts w:hint="default"/>
                <w:lang w:val="en-US" w:eastAsia="zh-CN"/>
              </w:rPr>
              <w:t>项目在采取一定的噪声污染防治措施后，项目产生的噪声不会对周围环境产生显著影响，不会改变区域环境噪声质量等级；项目所在区域的环境噪声符合《声环境质量标准》(GB3096-2008)的 3 类区标准。</w:t>
            </w:r>
          </w:p>
          <w:p w14:paraId="48BEB01A">
            <w:pPr>
              <w:pStyle w:val="15"/>
              <w:spacing w:line="360" w:lineRule="auto"/>
              <w:ind w:left="0" w:leftChars="0" w:firstLine="0" w:firstLineChars="0"/>
              <w:rPr>
                <w:rFonts w:hint="default"/>
                <w:lang w:val="en-US" w:eastAsia="zh-CN"/>
              </w:rPr>
            </w:pPr>
            <w:r>
              <w:rPr>
                <w:rFonts w:hint="default"/>
                <w:lang w:val="en-US" w:eastAsia="zh-CN"/>
              </w:rPr>
              <w:t>（3）与周边相容性分析</w:t>
            </w:r>
          </w:p>
          <w:p w14:paraId="43D5EBDC">
            <w:pPr>
              <w:pStyle w:val="15"/>
              <w:spacing w:line="360" w:lineRule="auto"/>
              <w:ind w:left="0" w:leftChars="0" w:firstLine="420" w:firstLineChars="200"/>
              <w:rPr>
                <w:rFonts w:hint="default"/>
                <w:lang w:val="en-US" w:eastAsia="zh-CN"/>
              </w:rPr>
            </w:pPr>
            <w:r>
              <w:rPr>
                <w:rFonts w:hint="default"/>
                <w:lang w:val="en-US" w:eastAsia="zh-CN"/>
              </w:rPr>
              <w:t xml:space="preserve">项目位于莆田市秀屿木材加工区，周边 500m 范围内均为工业厂房，无声环境、大气环境敏感点。项目周边环境现示意图详见附图 </w:t>
            </w:r>
            <w:r>
              <w:rPr>
                <w:rFonts w:hint="eastAsia"/>
                <w:lang w:val="en-US" w:eastAsia="zh-CN"/>
              </w:rPr>
              <w:t>5</w:t>
            </w:r>
            <w:r>
              <w:rPr>
                <w:rFonts w:hint="default"/>
                <w:lang w:val="en-US" w:eastAsia="zh-CN"/>
              </w:rPr>
              <w:t>。</w:t>
            </w:r>
          </w:p>
          <w:p w14:paraId="4C629EF0">
            <w:pPr>
              <w:pStyle w:val="15"/>
              <w:spacing w:line="360" w:lineRule="auto"/>
              <w:ind w:left="0" w:leftChars="0" w:firstLine="420" w:firstLineChars="200"/>
              <w:rPr>
                <w:rFonts w:hint="eastAsia"/>
                <w:lang w:val="en-US" w:eastAsia="zh-CN"/>
              </w:rPr>
            </w:pPr>
            <w:r>
              <w:rPr>
                <w:rFonts w:hint="default"/>
                <w:lang w:val="en-US" w:eastAsia="zh-CN"/>
              </w:rPr>
              <w:t>建设单位在确实落实本评价提出的各项污染治理措施的前提下，可实现污染物达标排放，且各污染物排放源强较低，营期产生的“三废”及噪声对周边环境影响不明显</w:t>
            </w:r>
            <w:r>
              <w:rPr>
                <w:rFonts w:hint="eastAsia"/>
                <w:lang w:val="en-US" w:eastAsia="zh-CN"/>
              </w:rPr>
              <w:t>。</w:t>
            </w:r>
          </w:p>
          <w:p w14:paraId="09F058DF">
            <w:pPr>
              <w:pStyle w:val="15"/>
              <w:spacing w:line="360" w:lineRule="auto"/>
              <w:ind w:left="0" w:leftChars="0" w:firstLine="420" w:firstLineChars="200"/>
              <w:rPr>
                <w:rFonts w:hint="default"/>
                <w:lang w:val="en-US" w:eastAsia="zh-CN"/>
              </w:rPr>
            </w:pPr>
            <w:r>
              <w:rPr>
                <w:rFonts w:hint="default"/>
                <w:lang w:val="en-US" w:eastAsia="zh-CN"/>
              </w:rPr>
              <w:t>因此，项目建设与周边环境基本相容。</w:t>
            </w:r>
          </w:p>
          <w:p w14:paraId="46502754">
            <w:pPr>
              <w:pStyle w:val="23"/>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left"/>
              <w:textAlignment w:val="auto"/>
              <w:rPr>
                <w:rFonts w:hint="eastAsia"/>
                <w:lang w:val="en-US" w:eastAsia="zh-CN"/>
              </w:rPr>
            </w:pPr>
            <w:r>
              <w:rPr>
                <w:rFonts w:hint="eastAsia"/>
                <w:lang w:val="en-US" w:eastAsia="zh-CN"/>
              </w:rPr>
              <w:t>4、与《挥发性有机物（VOCs）污染防治技术政策》符合性分析</w:t>
            </w:r>
          </w:p>
          <w:p w14:paraId="45F7C146">
            <w:pPr>
              <w:spacing w:line="360" w:lineRule="auto"/>
              <w:ind w:left="0" w:leftChars="0" w:firstLine="420" w:firstLineChars="200"/>
              <w:rPr>
                <w:rFonts w:hint="eastAsia"/>
              </w:rPr>
            </w:pPr>
            <w:r>
              <w:rPr>
                <w:rFonts w:hint="eastAsia"/>
              </w:rPr>
              <w:t>该政策提出：“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 含量的产品。”</w:t>
            </w:r>
          </w:p>
          <w:p w14:paraId="6CD93E1B">
            <w:pPr>
              <w:spacing w:line="360" w:lineRule="auto"/>
              <w:ind w:left="0" w:leftChars="0" w:firstLine="420" w:firstLineChars="200"/>
              <w:rPr>
                <w:rFonts w:hint="default"/>
                <w:lang w:val="en-US" w:eastAsia="zh-CN"/>
              </w:rPr>
            </w:pPr>
            <w:r>
              <w:rPr>
                <w:rFonts w:hint="eastAsia"/>
              </w:rPr>
              <w:t>本项目作业均在车间内进行，不露天作业，生产涂装工序均在密闭操作间内完成，有机废气通过</w:t>
            </w:r>
            <w:r>
              <w:rPr>
                <w:rFonts w:hint="eastAsia"/>
                <w:lang w:val="en-US" w:eastAsia="zh-CN"/>
              </w:rPr>
              <w:t>水帘+喷淋塔+活性炭吸附</w:t>
            </w:r>
            <w:r>
              <w:rPr>
                <w:rFonts w:hint="eastAsia"/>
              </w:rPr>
              <w:t>处理后达标排放，符合政策要求。</w:t>
            </w:r>
          </w:p>
        </w:tc>
      </w:tr>
      <w:tr w14:paraId="10DF5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1" w:hRule="atLeast"/>
          <w:jc w:val="center"/>
        </w:trPr>
        <w:tc>
          <w:tcPr>
            <w:tcW w:w="1907" w:type="dxa"/>
            <w:vAlign w:val="center"/>
          </w:tcPr>
          <w:p w14:paraId="19615C98">
            <w:pPr>
              <w:pStyle w:val="23"/>
              <w:jc w:val="center"/>
              <w:rPr>
                <w:rFonts w:hint="eastAsia"/>
                <w:lang w:val="en-US" w:eastAsia="zh-CN"/>
              </w:rPr>
            </w:pPr>
          </w:p>
        </w:tc>
        <w:tc>
          <w:tcPr>
            <w:tcW w:w="7215" w:type="dxa"/>
            <w:gridSpan w:val="3"/>
            <w:vMerge w:val="continue"/>
            <w:vAlign w:val="center"/>
          </w:tcPr>
          <w:p w14:paraId="1A571BB1">
            <w:pPr>
              <w:pStyle w:val="16"/>
              <w:rPr>
                <w:rFonts w:hint="default"/>
                <w:lang w:val="en-US" w:eastAsia="zh-CN"/>
              </w:rPr>
            </w:pPr>
          </w:p>
        </w:tc>
      </w:tr>
    </w:tbl>
    <w:p w14:paraId="34D231D7">
      <w:p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br w:type="page"/>
      </w:r>
    </w:p>
    <w:p w14:paraId="6C8F5D48">
      <w:pPr>
        <w:numPr>
          <w:ilvl w:val="0"/>
          <w:numId w:val="0"/>
        </w:numPr>
        <w:spacing w:line="240" w:lineRule="auto"/>
        <w:ind w:leftChars="200"/>
        <w:jc w:val="center"/>
        <w:outlineLvl w:val="0"/>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二.建设项目工程分析</w:t>
      </w:r>
    </w:p>
    <w:tbl>
      <w:tblPr>
        <w:tblStyle w:val="17"/>
        <w:tblW w:w="8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84"/>
      </w:tblGrid>
      <w:tr w14:paraId="62F7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5" w:hRule="atLeast"/>
        </w:trPr>
        <w:tc>
          <w:tcPr>
            <w:tcW w:w="426" w:type="dxa"/>
            <w:vAlign w:val="center"/>
          </w:tcPr>
          <w:p w14:paraId="6E245ED9">
            <w:pPr>
              <w:pStyle w:val="16"/>
              <w:numPr>
                <w:ilvl w:val="0"/>
                <w:numId w:val="0"/>
              </w:numPr>
              <w:jc w:val="center"/>
              <w:rPr>
                <w:rFonts w:hint="default" w:ascii="Times New Roman" w:hAnsi="Times New Roman" w:cs="Times New Roman"/>
                <w:lang w:val="en-US" w:eastAsia="zh-CN"/>
              </w:rPr>
            </w:pPr>
            <w:r>
              <w:rPr>
                <w:rFonts w:hint="default" w:ascii="Times New Roman" w:hAnsi="Times New Roman" w:cs="Times New Roman"/>
                <w:lang w:val="en-US" w:eastAsia="zh-CN"/>
              </w:rPr>
              <w:t>建设内容</w:t>
            </w:r>
          </w:p>
        </w:tc>
        <w:tc>
          <w:tcPr>
            <w:tcW w:w="8484" w:type="dxa"/>
            <w:vAlign w:val="top"/>
          </w:tcPr>
          <w:p w14:paraId="756F26FE">
            <w:pPr>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1.项目概况</w:t>
            </w:r>
          </w:p>
          <w:p w14:paraId="664596D4">
            <w:pPr>
              <w:adjustRightInd w:val="0"/>
              <w:snapToGrid w:val="0"/>
              <w:spacing w:line="360" w:lineRule="auto"/>
              <w:ind w:firstLine="420" w:firstLineChars="200"/>
              <w:rPr>
                <w:rFonts w:hint="default" w:ascii="Times New Roman" w:hAnsi="Times New Roman" w:cs="Times New Roman"/>
                <w:lang w:val="en-US"/>
              </w:rPr>
            </w:pPr>
            <w:r>
              <w:rPr>
                <w:rFonts w:hint="default" w:ascii="Times New Roman" w:hAnsi="Times New Roman" w:cs="Times New Roman"/>
              </w:rPr>
              <w:t>建设项目：莆田市鑫木汇家具有限公司家具生产迁建项目</w:t>
            </w:r>
          </w:p>
          <w:p w14:paraId="57AE3A51">
            <w:pPr>
              <w:adjustRightInd w:val="0"/>
              <w:snapToGrid w:val="0"/>
              <w:spacing w:line="360" w:lineRule="auto"/>
              <w:ind w:firstLine="420" w:firstLineChars="200"/>
              <w:rPr>
                <w:rFonts w:hint="default" w:ascii="Times New Roman" w:hAnsi="Times New Roman" w:cs="Times New Roman"/>
                <w:lang w:val="en-US"/>
              </w:rPr>
            </w:pPr>
            <w:r>
              <w:rPr>
                <w:rFonts w:hint="default" w:ascii="Times New Roman" w:hAnsi="Times New Roman" w:cs="Times New Roman"/>
              </w:rPr>
              <w:t>建设单位：莆田市鑫木汇家具有限公司</w:t>
            </w:r>
          </w:p>
          <w:p w14:paraId="364F9FBF">
            <w:pPr>
              <w:adjustRightInd w:val="0"/>
              <w:snapToGrid w:val="0"/>
              <w:spacing w:line="360" w:lineRule="auto"/>
              <w:ind w:firstLine="420" w:firstLineChars="200"/>
              <w:rPr>
                <w:rFonts w:hint="default" w:ascii="Times New Roman" w:hAnsi="Times New Roman" w:eastAsia="宋体" w:cs="Times New Roman"/>
                <w:lang w:val="en-US" w:eastAsia="zh-CN"/>
              </w:rPr>
            </w:pPr>
            <w:r>
              <w:rPr>
                <w:rFonts w:hint="default" w:ascii="Times New Roman" w:hAnsi="Times New Roman" w:cs="Times New Roman"/>
              </w:rPr>
              <w:t>建设地点：</w:t>
            </w:r>
            <w:r>
              <w:rPr>
                <w:rFonts w:hint="eastAsia" w:cs="Times New Roman"/>
                <w:color w:val="auto"/>
                <w:lang w:val="en-US" w:eastAsia="zh-CN"/>
              </w:rPr>
              <w:t>莆田市秀屿区东峤镇前沁村前沁1133号（秀屿木材加工区内）。</w:t>
            </w:r>
          </w:p>
          <w:p w14:paraId="3498362E">
            <w:pPr>
              <w:rPr>
                <w:rFonts w:hint="default" w:ascii="Times New Roman" w:hAnsi="Times New Roman" w:eastAsia="宋体" w:cs="Times New Roman"/>
                <w:lang w:val="en-US" w:eastAsia="zh-CN"/>
              </w:rPr>
            </w:pPr>
            <w:r>
              <w:rPr>
                <w:rFonts w:hint="default" w:ascii="Times New Roman" w:hAnsi="Times New Roman" w:cs="Times New Roman"/>
              </w:rPr>
              <w:t>生产规模：</w:t>
            </w:r>
            <w:r>
              <w:rPr>
                <w:rFonts w:hint="default" w:ascii="Times New Roman" w:hAnsi="Times New Roman" w:cs="Times New Roman"/>
                <w:color w:val="000000"/>
                <w:lang w:val="en-US" w:eastAsia="zh-CN"/>
              </w:rPr>
              <w:t>生产</w:t>
            </w:r>
            <w:r>
              <w:rPr>
                <w:rFonts w:hint="eastAsia" w:ascii="Times New Roman" w:hAnsi="Times New Roman" w:cs="Times New Roman"/>
                <w:color w:val="000000"/>
                <w:lang w:val="en-US" w:eastAsia="zh-CN"/>
              </w:rPr>
              <w:t>大板桌1200个/a，配套产品</w:t>
            </w:r>
            <w:r>
              <w:rPr>
                <w:rFonts w:hint="eastAsia" w:cs="Times New Roman"/>
                <w:color w:val="000000"/>
                <w:lang w:val="en-US" w:eastAsia="zh-CN"/>
              </w:rPr>
              <w:t>10</w:t>
            </w:r>
            <w:r>
              <w:rPr>
                <w:rFonts w:hint="eastAsia" w:ascii="Times New Roman" w:hAnsi="Times New Roman" w:cs="Times New Roman"/>
                <w:color w:val="000000"/>
                <w:lang w:val="en-US" w:eastAsia="zh-CN"/>
              </w:rPr>
              <w:t>000个/a</w:t>
            </w:r>
            <w:r>
              <w:rPr>
                <w:rFonts w:hint="eastAsia" w:cs="Times New Roman"/>
                <w:color w:val="000000"/>
                <w:lang w:val="en-US" w:eastAsia="zh-CN"/>
              </w:rPr>
              <w:t>。</w:t>
            </w:r>
          </w:p>
          <w:p w14:paraId="0DF2D481">
            <w:pPr>
              <w:spacing w:line="360" w:lineRule="auto"/>
              <w:rPr>
                <w:rFonts w:hint="default" w:ascii="Times New Roman" w:hAnsi="Times New Roman" w:eastAsia="宋体" w:cs="Times New Roman"/>
                <w:lang w:val="en-US" w:eastAsia="zh-CN"/>
              </w:rPr>
            </w:pPr>
            <w:r>
              <w:rPr>
                <w:rFonts w:hint="default" w:ascii="Times New Roman" w:hAnsi="Times New Roman" w:cs="Times New Roman"/>
              </w:rPr>
              <w:t>建设规模：</w:t>
            </w:r>
            <w:r>
              <w:rPr>
                <w:rFonts w:hint="default" w:ascii="Times New Roman" w:hAnsi="Times New Roman" w:cs="Times New Roman"/>
                <w:color w:val="auto"/>
              </w:rPr>
              <w:t>项目</w:t>
            </w:r>
            <w:r>
              <w:rPr>
                <w:rFonts w:hint="eastAsia" w:cs="Times New Roman"/>
                <w:color w:val="auto"/>
                <w:lang w:val="en-US" w:eastAsia="zh-CN"/>
              </w:rPr>
              <w:t>莆田市长峰木业有限公司现有厂房</w:t>
            </w:r>
            <w:r>
              <w:rPr>
                <w:rFonts w:hint="default" w:ascii="Times New Roman" w:hAnsi="Times New Roman" w:cs="Times New Roman"/>
                <w:color w:val="auto"/>
              </w:rPr>
              <w:t>，租用面积</w:t>
            </w:r>
            <w:r>
              <w:rPr>
                <w:rFonts w:hint="eastAsia" w:cs="Times New Roman"/>
                <w:color w:val="auto"/>
                <w:lang w:val="en-US" w:eastAsia="zh-CN"/>
              </w:rPr>
              <w:t>约为4684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lang w:eastAsia="zh-CN"/>
              </w:rPr>
              <w:t>，</w:t>
            </w:r>
            <w:r>
              <w:rPr>
                <w:rFonts w:hint="eastAsia" w:cs="Times New Roman"/>
                <w:lang w:val="en-US" w:eastAsia="zh-CN"/>
              </w:rPr>
              <w:t>借用</w:t>
            </w:r>
            <w:r>
              <w:rPr>
                <w:rFonts w:hint="eastAsia" w:ascii="Times New Roman" w:hAnsi="Times New Roman" w:cs="Times New Roman"/>
                <w:b w:val="0"/>
                <w:bCs/>
                <w:color w:val="auto"/>
                <w:sz w:val="21"/>
                <w:szCs w:val="21"/>
                <w:lang w:val="en-US" w:eastAsia="zh-CN"/>
              </w:rPr>
              <w:t>莆田市秀屿区自然元素家具有限公司现有厂房约1620m</w:t>
            </w:r>
            <w:r>
              <w:rPr>
                <w:rFonts w:hint="eastAsia" w:ascii="Times New Roman" w:hAnsi="Times New Roman" w:cs="Times New Roman"/>
                <w:b w:val="0"/>
                <w:bCs/>
                <w:color w:val="auto"/>
                <w:sz w:val="21"/>
                <w:szCs w:val="21"/>
                <w:vertAlign w:val="superscript"/>
                <w:lang w:val="en-US" w:eastAsia="zh-CN"/>
              </w:rPr>
              <w:t>2</w:t>
            </w:r>
            <w:r>
              <w:rPr>
                <w:rFonts w:hint="eastAsia" w:ascii="Times New Roman" w:hAnsi="Times New Roman" w:cs="Times New Roman"/>
                <w:b w:val="0"/>
                <w:bCs/>
                <w:color w:val="auto"/>
                <w:sz w:val="21"/>
                <w:szCs w:val="21"/>
                <w:lang w:val="en-US" w:eastAsia="zh-CN"/>
              </w:rPr>
              <w:t>，共占用面积约6304m</w:t>
            </w:r>
            <w:r>
              <w:rPr>
                <w:rFonts w:hint="eastAsia" w:ascii="Times New Roman" w:hAnsi="Times New Roman" w:cs="Times New Roman"/>
                <w:b w:val="0"/>
                <w:bCs/>
                <w:color w:val="auto"/>
                <w:sz w:val="21"/>
                <w:szCs w:val="21"/>
                <w:vertAlign w:val="superscript"/>
                <w:lang w:val="en-US" w:eastAsia="zh-CN"/>
              </w:rPr>
              <w:t>2</w:t>
            </w:r>
            <w:r>
              <w:rPr>
                <w:rFonts w:hint="eastAsia" w:ascii="Times New Roman" w:hAnsi="Times New Roman" w:cs="Times New Roman"/>
                <w:b w:val="0"/>
                <w:bCs/>
                <w:color w:val="auto"/>
                <w:sz w:val="21"/>
                <w:szCs w:val="21"/>
                <w:lang w:val="en-US" w:eastAsia="zh-CN"/>
              </w:rPr>
              <w:t>，详见附件。</w:t>
            </w:r>
          </w:p>
          <w:p w14:paraId="12B118E8">
            <w:pPr>
              <w:spacing w:line="360" w:lineRule="auto"/>
              <w:rPr>
                <w:rFonts w:hint="eastAsia" w:cs="Times New Roman"/>
                <w:lang w:val="en-US" w:eastAsia="zh-CN"/>
              </w:rPr>
            </w:pPr>
            <w:r>
              <w:rPr>
                <w:rFonts w:hint="default" w:ascii="Times New Roman" w:hAnsi="Times New Roman" w:cs="Times New Roman"/>
              </w:rPr>
              <w:t>劳动定员及工作制度：项目拟定员工</w:t>
            </w:r>
            <w:r>
              <w:rPr>
                <w:rFonts w:hint="eastAsia" w:cs="Times New Roman"/>
                <w:lang w:val="en-US" w:eastAsia="zh-CN"/>
              </w:rPr>
              <w:t>40</w:t>
            </w:r>
            <w:r>
              <w:rPr>
                <w:rFonts w:hint="default" w:ascii="Times New Roman" w:hAnsi="Times New Roman" w:cs="Times New Roman"/>
              </w:rPr>
              <w:t>人，在厂区内</w:t>
            </w:r>
            <w:r>
              <w:rPr>
                <w:rFonts w:hint="eastAsia" w:cs="Times New Roman"/>
                <w:lang w:val="en-US" w:eastAsia="zh-CN"/>
              </w:rPr>
              <w:t>住宿，无食堂</w:t>
            </w:r>
            <w:r>
              <w:rPr>
                <w:rFonts w:hint="default" w:ascii="Times New Roman" w:hAnsi="Times New Roman" w:cs="Times New Roman"/>
              </w:rPr>
              <w:t>。年生产天数300天，一班制，每班8小时</w:t>
            </w:r>
            <w:r>
              <w:rPr>
                <w:rFonts w:hint="eastAsia" w:cs="Times New Roman"/>
                <w:lang w:val="en-US" w:eastAsia="zh-CN"/>
              </w:rPr>
              <w:t>。</w:t>
            </w:r>
          </w:p>
          <w:p w14:paraId="49E6ECB4">
            <w:pPr>
              <w:spacing w:line="360" w:lineRule="auto"/>
              <w:rPr>
                <w:rFonts w:hint="default" w:eastAsia="宋体"/>
                <w:lang w:val="en-US" w:eastAsia="zh-CN"/>
              </w:rPr>
            </w:pPr>
            <w:r>
              <w:rPr>
                <w:rFonts w:hint="eastAsia" w:cs="Times New Roman"/>
                <w:lang w:val="en-US" w:eastAsia="zh-CN"/>
              </w:rPr>
              <w:t>项目由来：莆田恒升木业有限公司于2018年7月委托湖北黄环环保科技有限公司编制《莆田恒升木业有限公司大板桌及配套来料加工项目环境影响报告表》，并于2018年8月24日通过莆田市秀屿区环保局的环评审批，于2018年12月8日获得莆田市秀屿区环保局环保竣工验收通过；后为适应市场需求，于2018年12月委托江苏新清源环保有限公司编制《莆田恒升木业有</w:t>
            </w:r>
            <w:r>
              <w:rPr>
                <w:rFonts w:hint="eastAsia" w:cs="Times New Roman"/>
                <w:highlight w:val="none"/>
                <w:lang w:val="en-US" w:eastAsia="zh-CN"/>
              </w:rPr>
              <w:t>限公司扩建项目环境影响报告表》，并于2019年1月17日取得批复，于2019年4月8日获得莆田市秀屿区环保局环保竣工验收通过。2022年10月，因生产经营需要，莆田恒升木业有限公司的《莆田恒升木业有限公司扩建项目环境影响报告表》（莆秀环保评[2019]6号）家具生产项目由莆田市鑫木汇家具有限公司生产经营；莆田市鑫木汇家具有限公司承诺经营生产性质、规模、地点、生产工艺以及防治污染、防止生态破坏的措施与《莆田恒升木业有限公司扩建项目环境影响报告表》中内容完全一致。现因公司发展需要，拟</w:t>
            </w:r>
            <w:r>
              <w:rPr>
                <w:rFonts w:hint="eastAsia" w:cs="Times New Roman"/>
                <w:lang w:val="en-US" w:eastAsia="zh-CN"/>
              </w:rPr>
              <w:t>将公司迁至莆田市长峰木业有限公司现有厂房继续生产经营，同时借用</w:t>
            </w:r>
            <w:r>
              <w:rPr>
                <w:rFonts w:hint="eastAsia" w:ascii="Times New Roman" w:hAnsi="Times New Roman" w:cs="Times New Roman"/>
                <w:b w:val="0"/>
                <w:bCs/>
                <w:color w:val="auto"/>
                <w:sz w:val="21"/>
                <w:szCs w:val="21"/>
                <w:lang w:val="en-US" w:eastAsia="zh-CN"/>
              </w:rPr>
              <w:t>莆田市秀屿区自然元素家具有限公司现有厂房</w:t>
            </w:r>
            <w:r>
              <w:rPr>
                <w:rFonts w:hint="eastAsia" w:cs="Times New Roman"/>
                <w:lang w:val="en-US" w:eastAsia="zh-CN"/>
              </w:rPr>
              <w:t>，迁建前后，项目的产品及生产规模、主要生产设备种类及数量、原辅材料类型及年消耗量、生产工艺流程等内容基本未发生变化，但变更建设地点和生产车间布局、增加了部分生产设备替代人工操作，此外，有机废气的处理方式由UV光解设施变更为更稳定和高效率的活性炭吸附。</w:t>
            </w:r>
          </w:p>
          <w:p w14:paraId="7BDA6140">
            <w:p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产品方案：项目产品详见表2-1</w:t>
            </w:r>
          </w:p>
          <w:p w14:paraId="5C2932AA">
            <w:pPr>
              <w:widowControl w:val="0"/>
              <w:wordWrap/>
              <w:adjustRightInd/>
              <w:snapToGrid/>
              <w:spacing w:line="360" w:lineRule="auto"/>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表2-1</w:t>
            </w:r>
            <w:r>
              <w:rPr>
                <w:rFonts w:hint="eastAsia" w:cs="Times New Roman"/>
                <w:b/>
                <w:bCs/>
                <w:lang w:val="en-US" w:eastAsia="zh-CN"/>
              </w:rPr>
              <w:t xml:space="preserve">  </w:t>
            </w:r>
            <w:r>
              <w:rPr>
                <w:rFonts w:hint="default" w:ascii="Times New Roman" w:hAnsi="Times New Roman" w:cs="Times New Roman"/>
                <w:b/>
                <w:bCs/>
                <w:lang w:val="en-US" w:eastAsia="zh-CN"/>
              </w:rPr>
              <w:t>主要产品及产能信息表</w:t>
            </w:r>
          </w:p>
          <w:tbl>
            <w:tblPr>
              <w:tblStyle w:val="17"/>
              <w:tblW w:w="80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0"/>
              <w:gridCol w:w="1827"/>
              <w:gridCol w:w="2160"/>
              <w:gridCol w:w="2107"/>
            </w:tblGrid>
            <w:tr w14:paraId="244B6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000" w:type="dxa"/>
                  <w:tcBorders>
                    <w:tl2br w:val="nil"/>
                    <w:tr2bl w:val="nil"/>
                  </w:tcBorders>
                  <w:vAlign w:val="center"/>
                </w:tcPr>
                <w:p w14:paraId="14EEFF32">
                  <w:pPr>
                    <w:pStyle w:val="24"/>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产品</w:t>
                  </w:r>
                </w:p>
              </w:tc>
              <w:tc>
                <w:tcPr>
                  <w:tcW w:w="1827" w:type="dxa"/>
                  <w:tcBorders>
                    <w:tl2br w:val="nil"/>
                    <w:tr2bl w:val="nil"/>
                  </w:tcBorders>
                  <w:vAlign w:val="center"/>
                </w:tcPr>
                <w:p w14:paraId="039A197B">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eastAsia="zh-CN"/>
                    </w:rPr>
                    <w:t>全厂产能</w:t>
                  </w:r>
                </w:p>
              </w:tc>
              <w:tc>
                <w:tcPr>
                  <w:tcW w:w="2160" w:type="dxa"/>
                  <w:tcBorders>
                    <w:tl2br w:val="nil"/>
                    <w:tr2bl w:val="nil"/>
                  </w:tcBorders>
                  <w:vAlign w:val="center"/>
                </w:tcPr>
                <w:p w14:paraId="7CB02C9F">
                  <w:pPr>
                    <w:pStyle w:val="24"/>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设计年生产时间</w:t>
                  </w:r>
                </w:p>
              </w:tc>
              <w:tc>
                <w:tcPr>
                  <w:tcW w:w="2107" w:type="dxa"/>
                  <w:tcBorders>
                    <w:tl2br w:val="nil"/>
                    <w:tr2bl w:val="nil"/>
                  </w:tcBorders>
                  <w:vAlign w:val="center"/>
                </w:tcPr>
                <w:p w14:paraId="77F92A04">
                  <w:pPr>
                    <w:pStyle w:val="24"/>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设计劳动定员</w:t>
                  </w:r>
                </w:p>
              </w:tc>
            </w:tr>
            <w:tr w14:paraId="6358E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trPr>
              <w:tc>
                <w:tcPr>
                  <w:tcW w:w="2000" w:type="dxa"/>
                  <w:tcBorders>
                    <w:tl2br w:val="nil"/>
                    <w:tr2bl w:val="nil"/>
                  </w:tcBorders>
                  <w:vAlign w:val="center"/>
                </w:tcPr>
                <w:p w14:paraId="75AB910B">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大板桌</w:t>
                  </w:r>
                </w:p>
              </w:tc>
              <w:tc>
                <w:tcPr>
                  <w:tcW w:w="1827" w:type="dxa"/>
                  <w:tcBorders>
                    <w:tl2br w:val="nil"/>
                    <w:tr2bl w:val="nil"/>
                  </w:tcBorders>
                  <w:vAlign w:val="center"/>
                </w:tcPr>
                <w:p w14:paraId="1789D08B">
                  <w:pPr>
                    <w:pStyle w:val="24"/>
                    <w:rPr>
                      <w:rFonts w:hint="default" w:ascii="Times New Roman" w:hAnsi="Times New Roman" w:cs="Times New Roman"/>
                      <w:sz w:val="18"/>
                      <w:szCs w:val="18"/>
                      <w:lang w:eastAsia="zh-CN"/>
                    </w:rPr>
                  </w:pPr>
                  <w:r>
                    <w:rPr>
                      <w:rFonts w:hint="default" w:ascii="Times New Roman" w:hAnsi="Times New Roman" w:cs="Times New Roman"/>
                      <w:sz w:val="18"/>
                      <w:szCs w:val="18"/>
                      <w:lang w:val="en-US" w:eastAsia="zh-CN"/>
                    </w:rPr>
                    <w:t>1200个/年</w:t>
                  </w:r>
                </w:p>
              </w:tc>
              <w:tc>
                <w:tcPr>
                  <w:tcW w:w="2160" w:type="dxa"/>
                  <w:vMerge w:val="restart"/>
                  <w:tcBorders>
                    <w:tl2br w:val="nil"/>
                    <w:tr2bl w:val="nil"/>
                  </w:tcBorders>
                  <w:vAlign w:val="center"/>
                </w:tcPr>
                <w:p w14:paraId="31B3331D">
                  <w:pPr>
                    <w:pStyle w:val="24"/>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rPr>
                    <w:t>年工作时间3</w:t>
                  </w:r>
                  <w:r>
                    <w:rPr>
                      <w:rFonts w:hint="default" w:ascii="Times New Roman" w:hAnsi="Times New Roman" w:cs="Times New Roman"/>
                      <w:sz w:val="18"/>
                      <w:szCs w:val="18"/>
                      <w:lang w:val="en-US" w:eastAsia="zh-CN"/>
                    </w:rPr>
                    <w:t>00天，</w:t>
                  </w:r>
                  <w:r>
                    <w:rPr>
                      <w:rFonts w:hint="eastAsia" w:ascii="Times New Roman" w:hAnsi="Times New Roman" w:cs="Times New Roman"/>
                      <w:sz w:val="18"/>
                      <w:szCs w:val="18"/>
                      <w:lang w:val="en-US" w:eastAsia="zh-CN"/>
                    </w:rPr>
                    <w:t>每天工作8小时</w:t>
                  </w:r>
                </w:p>
              </w:tc>
              <w:tc>
                <w:tcPr>
                  <w:tcW w:w="2107" w:type="dxa"/>
                  <w:vMerge w:val="restart"/>
                  <w:tcBorders>
                    <w:tl2br w:val="nil"/>
                    <w:tr2bl w:val="nil"/>
                  </w:tcBorders>
                  <w:vAlign w:val="center"/>
                </w:tcPr>
                <w:p w14:paraId="1BF06213">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拟定员工40人，有住宿，无食堂</w:t>
                  </w:r>
                </w:p>
              </w:tc>
            </w:tr>
            <w:tr w14:paraId="5C04A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2000" w:type="dxa"/>
                  <w:tcBorders>
                    <w:tl2br w:val="nil"/>
                    <w:tr2bl w:val="nil"/>
                  </w:tcBorders>
                  <w:vAlign w:val="center"/>
                </w:tcPr>
                <w:p w14:paraId="33A6544F">
                  <w:pPr>
                    <w:pStyle w:val="24"/>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配套产品</w:t>
                  </w:r>
                </w:p>
              </w:tc>
              <w:tc>
                <w:tcPr>
                  <w:tcW w:w="1827" w:type="dxa"/>
                  <w:tcBorders>
                    <w:tl2br w:val="nil"/>
                    <w:tr2bl w:val="nil"/>
                  </w:tcBorders>
                  <w:vAlign w:val="center"/>
                </w:tcPr>
                <w:p w14:paraId="3FAE3F8E">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10000个/年</w:t>
                  </w:r>
                </w:p>
              </w:tc>
              <w:tc>
                <w:tcPr>
                  <w:tcW w:w="2160" w:type="dxa"/>
                  <w:vMerge w:val="continue"/>
                  <w:tcBorders>
                    <w:tl2br w:val="nil"/>
                    <w:tr2bl w:val="nil"/>
                  </w:tcBorders>
                  <w:vAlign w:val="center"/>
                </w:tcPr>
                <w:p w14:paraId="20B83B0C">
                  <w:pPr>
                    <w:pStyle w:val="24"/>
                    <w:jc w:val="left"/>
                    <w:rPr>
                      <w:rFonts w:hint="default" w:ascii="Times New Roman" w:hAnsi="Times New Roman" w:cs="Times New Roman"/>
                      <w:sz w:val="18"/>
                      <w:szCs w:val="18"/>
                    </w:rPr>
                  </w:pPr>
                </w:p>
              </w:tc>
              <w:tc>
                <w:tcPr>
                  <w:tcW w:w="2107" w:type="dxa"/>
                  <w:vMerge w:val="continue"/>
                  <w:tcBorders>
                    <w:tl2br w:val="nil"/>
                    <w:tr2bl w:val="nil"/>
                  </w:tcBorders>
                  <w:vAlign w:val="center"/>
                </w:tcPr>
                <w:p w14:paraId="692FA6D8">
                  <w:pPr>
                    <w:pStyle w:val="24"/>
                    <w:rPr>
                      <w:rFonts w:hint="eastAsia" w:ascii="Times New Roman" w:hAnsi="Times New Roman" w:cs="Times New Roman"/>
                      <w:sz w:val="18"/>
                      <w:szCs w:val="18"/>
                      <w:lang w:val="en-US" w:eastAsia="zh-CN"/>
                    </w:rPr>
                  </w:pPr>
                </w:p>
              </w:tc>
            </w:tr>
          </w:tbl>
          <w:p w14:paraId="734B460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2.项目组成：</w:t>
            </w:r>
            <w:r>
              <w:rPr>
                <w:rFonts w:hint="default" w:ascii="Times New Roman" w:hAnsi="Times New Roman" w:cs="Times New Roman"/>
                <w:b w:val="0"/>
                <w:bCs w:val="0"/>
                <w:color w:val="auto"/>
                <w:highlight w:val="none"/>
                <w:lang w:val="en-US" w:eastAsia="zh-CN"/>
              </w:rPr>
              <w:t>项目组成详见表2-2</w:t>
            </w:r>
            <w:r>
              <w:rPr>
                <w:rFonts w:hint="eastAsia" w:cs="Times New Roman"/>
                <w:b w:val="0"/>
                <w:bCs w:val="0"/>
                <w:color w:val="auto"/>
                <w:highlight w:val="none"/>
                <w:lang w:val="en-US" w:eastAsia="zh-CN"/>
              </w:rPr>
              <w:t>。</w:t>
            </w:r>
          </w:p>
          <w:p w14:paraId="052C1186">
            <w:pPr>
              <w:widowControl w:val="0"/>
              <w:wordWrap/>
              <w:adjustRightInd/>
              <w:snapToGrid/>
              <w:spacing w:line="360" w:lineRule="auto"/>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表2-2</w:t>
            </w:r>
            <w:r>
              <w:rPr>
                <w:rFonts w:hint="eastAsia" w:cs="Times New Roman"/>
                <w:b/>
                <w:bCs/>
                <w:lang w:val="en-US" w:eastAsia="zh-CN"/>
              </w:rPr>
              <w:t xml:space="preserve">  </w:t>
            </w:r>
            <w:r>
              <w:rPr>
                <w:rFonts w:hint="default" w:ascii="Times New Roman" w:hAnsi="Times New Roman" w:cs="Times New Roman"/>
                <w:b/>
                <w:bCs/>
                <w:lang w:val="en-US" w:eastAsia="zh-CN"/>
              </w:rPr>
              <w:t>项目组成一览表</w:t>
            </w:r>
          </w:p>
          <w:tbl>
            <w:tblPr>
              <w:tblStyle w:val="17"/>
              <w:tblW w:w="82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582"/>
              <w:gridCol w:w="5499"/>
            </w:tblGrid>
            <w:tr w14:paraId="79BDE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tcBorders>
                    <w:tl2br w:val="nil"/>
                    <w:tr2bl w:val="nil"/>
                  </w:tcBorders>
                  <w:vAlign w:val="center"/>
                </w:tcPr>
                <w:p w14:paraId="604D3918">
                  <w:pPr>
                    <w:pStyle w:val="24"/>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项目组成</w:t>
                  </w:r>
                </w:p>
              </w:tc>
              <w:tc>
                <w:tcPr>
                  <w:tcW w:w="1582" w:type="dxa"/>
                  <w:tcBorders>
                    <w:tl2br w:val="nil"/>
                    <w:tr2bl w:val="nil"/>
                  </w:tcBorders>
                  <w:vAlign w:val="center"/>
                </w:tcPr>
                <w:p w14:paraId="661ABB6C">
                  <w:pPr>
                    <w:pStyle w:val="24"/>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建 设 内 容</w:t>
                  </w:r>
                </w:p>
              </w:tc>
              <w:tc>
                <w:tcPr>
                  <w:tcW w:w="5499" w:type="dxa"/>
                  <w:tcBorders>
                    <w:tl2br w:val="nil"/>
                    <w:tr2bl w:val="nil"/>
                  </w:tcBorders>
                  <w:vAlign w:val="center"/>
                </w:tcPr>
                <w:p w14:paraId="2456765E">
                  <w:pPr>
                    <w:pStyle w:val="24"/>
                    <w:ind w:firstLine="0" w:firstLineChars="0"/>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rPr>
                    <w:t xml:space="preserve">建 设 </w:t>
                  </w:r>
                  <w:r>
                    <w:rPr>
                      <w:rFonts w:hint="default" w:ascii="Times New Roman" w:hAnsi="Times New Roman" w:cs="Times New Roman"/>
                      <w:b/>
                      <w:bCs/>
                      <w:color w:val="auto"/>
                      <w:sz w:val="18"/>
                      <w:szCs w:val="18"/>
                      <w:lang w:val="en-US" w:eastAsia="zh-CN"/>
                    </w:rPr>
                    <w:t>规 模</w:t>
                  </w:r>
                </w:p>
              </w:tc>
            </w:tr>
            <w:tr w14:paraId="638E2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187" w:type="dxa"/>
                  <w:tcBorders>
                    <w:tl2br w:val="nil"/>
                    <w:tr2bl w:val="nil"/>
                  </w:tcBorders>
                  <w:vAlign w:val="center"/>
                </w:tcPr>
                <w:p w14:paraId="7B10AEE6">
                  <w:pPr>
                    <w:pStyle w:val="2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主体工程</w:t>
                  </w:r>
                </w:p>
              </w:tc>
              <w:tc>
                <w:tcPr>
                  <w:tcW w:w="1582" w:type="dxa"/>
                  <w:tcBorders>
                    <w:tl2br w:val="nil"/>
                    <w:tr2bl w:val="nil"/>
                  </w:tcBorders>
                  <w:vAlign w:val="center"/>
                </w:tcPr>
                <w:p w14:paraId="1BE5F1DA">
                  <w:pPr>
                    <w:pStyle w:val="24"/>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生产车间</w:t>
                  </w:r>
                  <w:r>
                    <w:rPr>
                      <w:rFonts w:hint="eastAsia" w:ascii="Times New Roman" w:hAnsi="Times New Roman" w:cs="Times New Roman"/>
                      <w:color w:val="auto"/>
                      <w:sz w:val="18"/>
                      <w:szCs w:val="18"/>
                      <w:lang w:val="en-US" w:eastAsia="zh-CN"/>
                    </w:rPr>
                    <w:t>、</w:t>
                  </w:r>
                  <w:r>
                    <w:rPr>
                      <w:rFonts w:hint="eastAsia" w:ascii="Times New Roman" w:hAnsi="Times New Roman" w:cs="Times New Roman"/>
                      <w:b w:val="0"/>
                      <w:bCs w:val="0"/>
                      <w:color w:val="auto"/>
                      <w:sz w:val="18"/>
                      <w:szCs w:val="18"/>
                      <w:lang w:val="en-US" w:eastAsia="zh-CN"/>
                    </w:rPr>
                    <w:t>原料仓库、产品仓库</w:t>
                  </w:r>
                </w:p>
              </w:tc>
              <w:tc>
                <w:tcPr>
                  <w:tcW w:w="5499" w:type="dxa"/>
                  <w:tcBorders>
                    <w:tl2br w:val="nil"/>
                    <w:tr2bl w:val="nil"/>
                  </w:tcBorders>
                  <w:vAlign w:val="center"/>
                </w:tcPr>
                <w:p w14:paraId="5D311D74">
                  <w:pPr>
                    <w:pStyle w:val="24"/>
                    <w:ind w:firstLine="0" w:firstLineChars="0"/>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1号楼第三层</w:t>
                  </w:r>
                  <w:r>
                    <w:rPr>
                      <w:rFonts w:hint="eastAsia" w:ascii="Times New Roman" w:hAnsi="Times New Roman" w:cs="Times New Roman"/>
                      <w:color w:val="auto"/>
                      <w:sz w:val="18"/>
                      <w:szCs w:val="18"/>
                      <w:lang w:val="en-US" w:eastAsia="zh-CN"/>
                    </w:rPr>
                    <w:t>，主要为半成品仓库和危险废物仓库，共约1000m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w:t>
                  </w:r>
                </w:p>
                <w:p w14:paraId="4767019D">
                  <w:pPr>
                    <w:pStyle w:val="24"/>
                    <w:ind w:firstLine="0" w:firstLineChars="0"/>
                    <w:jc w:val="both"/>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lang w:val="en-US" w:eastAsia="zh-CN"/>
                    </w:rPr>
                    <w:t>2号楼</w:t>
                  </w:r>
                  <w:r>
                    <w:rPr>
                      <w:rFonts w:hint="eastAsia" w:ascii="Times New Roman" w:hAnsi="Times New Roman" w:cs="Times New Roman"/>
                      <w:color w:val="auto"/>
                      <w:sz w:val="18"/>
                      <w:szCs w:val="18"/>
                      <w:lang w:val="en-US" w:eastAsia="zh-CN"/>
                    </w:rPr>
                    <w:t>第一层为生产车间，约1000m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；第二层为成品仓库、原料仓库和化学品仓库，约1000m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；第三层为打磨、上漆、晾干区，约1000m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vertAlign w:val="baseline"/>
                      <w:lang w:val="en-US" w:eastAsia="zh-CN"/>
                    </w:rPr>
                    <w:t>。</w:t>
                  </w:r>
                </w:p>
                <w:p w14:paraId="49157695">
                  <w:pPr>
                    <w:pStyle w:val="24"/>
                    <w:ind w:firstLine="0" w:firstLineChars="0"/>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w:t>
                  </w:r>
                  <w:r>
                    <w:rPr>
                      <w:rFonts w:hint="eastAsia" w:ascii="Times New Roman" w:hAnsi="Times New Roman" w:cs="Times New Roman"/>
                      <w:color w:val="auto"/>
                      <w:sz w:val="18"/>
                      <w:szCs w:val="18"/>
                      <w:lang w:val="en-US" w:eastAsia="zh-CN"/>
                    </w:rPr>
                    <w:t>号</w:t>
                  </w:r>
                  <w:r>
                    <w:rPr>
                      <w:rFonts w:hint="default" w:ascii="Times New Roman" w:hAnsi="Times New Roman" w:cs="Times New Roman"/>
                      <w:color w:val="auto"/>
                      <w:sz w:val="18"/>
                      <w:szCs w:val="18"/>
                      <w:lang w:val="en-US" w:eastAsia="zh-CN"/>
                    </w:rPr>
                    <w:t>楼层</w:t>
                  </w:r>
                  <w:r>
                    <w:rPr>
                      <w:rFonts w:hint="eastAsia" w:ascii="Times New Roman" w:hAnsi="Times New Roman" w:cs="Times New Roman"/>
                      <w:color w:val="auto"/>
                      <w:sz w:val="18"/>
                      <w:szCs w:val="18"/>
                      <w:lang w:val="en-US" w:eastAsia="zh-CN"/>
                    </w:rPr>
                    <w:t>租用684m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作为员工宿舍楼</w:t>
                  </w:r>
                  <w:r>
                    <w:rPr>
                      <w:rFonts w:hint="default" w:ascii="Times New Roman" w:hAnsi="Times New Roman" w:cs="Times New Roman"/>
                      <w:color w:val="auto"/>
                      <w:sz w:val="18"/>
                      <w:szCs w:val="18"/>
                      <w:lang w:val="en-US" w:eastAsia="zh-CN"/>
                    </w:rPr>
                    <w:t>，</w:t>
                  </w:r>
                </w:p>
                <w:p w14:paraId="055E30B6">
                  <w:pPr>
                    <w:pStyle w:val="24"/>
                    <w:ind w:firstLine="0" w:firstLineChars="0"/>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3号楼第三层</w:t>
                  </w:r>
                  <w:r>
                    <w:rPr>
                      <w:rFonts w:hint="eastAsia" w:ascii="Times New Roman" w:hAnsi="Times New Roman" w:cs="Times New Roman"/>
                      <w:color w:val="auto"/>
                      <w:sz w:val="18"/>
                      <w:szCs w:val="18"/>
                      <w:lang w:val="en-US" w:eastAsia="zh-CN"/>
                    </w:rPr>
                    <w:t>为木工车间，约1000m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w:t>
                  </w:r>
                </w:p>
                <w:p w14:paraId="1F669802">
                  <w:pPr>
                    <w:pStyle w:val="24"/>
                    <w:ind w:firstLine="0" w:firstLineChars="0"/>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自建房</w:t>
                  </w:r>
                  <w:r>
                    <w:rPr>
                      <w:rFonts w:hint="eastAsia" w:ascii="Times New Roman" w:hAnsi="Times New Roman" w:cs="Times New Roman"/>
                      <w:color w:val="auto"/>
                      <w:sz w:val="18"/>
                      <w:szCs w:val="18"/>
                      <w:lang w:val="en-US" w:eastAsia="zh-CN"/>
                    </w:rPr>
                    <w:t>（铁皮房）：木材加工区，约</w:t>
                  </w:r>
                  <w:r>
                    <w:rPr>
                      <w:rFonts w:hint="default" w:ascii="Times New Roman" w:hAnsi="Times New Roman" w:cs="Times New Roman"/>
                      <w:color w:val="auto"/>
                      <w:sz w:val="18"/>
                      <w:szCs w:val="18"/>
                      <w:lang w:val="en-US" w:eastAsia="zh-CN"/>
                    </w:rPr>
                    <w:t>620</w:t>
                  </w:r>
                  <w:r>
                    <w:rPr>
                      <w:rFonts w:hint="eastAsia" w:ascii="Times New Roman" w:hAnsi="Times New Roman" w:cs="Times New Roman"/>
                      <w:color w:val="auto"/>
                      <w:sz w:val="18"/>
                      <w:szCs w:val="18"/>
                      <w:lang w:val="en-US" w:eastAsia="zh-CN"/>
                    </w:rPr>
                    <w:t>m</w:t>
                  </w:r>
                  <w:r>
                    <w:rPr>
                      <w:rFonts w:hint="eastAsia" w:ascii="Times New Roman" w:hAnsi="Times New Roman" w:cs="Times New Roman"/>
                      <w:color w:val="auto"/>
                      <w:sz w:val="18"/>
                      <w:szCs w:val="18"/>
                      <w:vertAlign w:val="superscript"/>
                      <w:lang w:val="en-US" w:eastAsia="zh-CN"/>
                    </w:rPr>
                    <w:t>2</w:t>
                  </w:r>
                  <w:r>
                    <w:rPr>
                      <w:rFonts w:hint="eastAsia" w:ascii="Times New Roman" w:hAnsi="Times New Roman" w:cs="Times New Roman"/>
                      <w:color w:val="auto"/>
                      <w:sz w:val="18"/>
                      <w:szCs w:val="18"/>
                      <w:lang w:val="en-US" w:eastAsia="zh-CN"/>
                    </w:rPr>
                    <w:t>。</w:t>
                  </w:r>
                </w:p>
              </w:tc>
            </w:tr>
            <w:tr w14:paraId="6325B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restart"/>
                  <w:tcBorders>
                    <w:tl2br w:val="nil"/>
                    <w:tr2bl w:val="nil"/>
                  </w:tcBorders>
                  <w:vAlign w:val="center"/>
                </w:tcPr>
                <w:p w14:paraId="6999C5B5">
                  <w:pPr>
                    <w:pStyle w:val="24"/>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环保工程</w:t>
                  </w:r>
                </w:p>
              </w:tc>
              <w:tc>
                <w:tcPr>
                  <w:tcW w:w="1582" w:type="dxa"/>
                  <w:tcBorders>
                    <w:tl2br w:val="nil"/>
                    <w:tr2bl w:val="nil"/>
                  </w:tcBorders>
                  <w:vAlign w:val="center"/>
                </w:tcPr>
                <w:p w14:paraId="3DE5BB7B">
                  <w:pPr>
                    <w:pStyle w:val="24"/>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废气治理</w:t>
                  </w:r>
                </w:p>
              </w:tc>
              <w:tc>
                <w:tcPr>
                  <w:tcW w:w="5499" w:type="dxa"/>
                  <w:tcBorders>
                    <w:tl2br w:val="nil"/>
                    <w:tr2bl w:val="nil"/>
                  </w:tcBorders>
                  <w:vAlign w:val="center"/>
                </w:tcPr>
                <w:p w14:paraId="3D9346E0">
                  <w:pPr>
                    <w:pStyle w:val="24"/>
                    <w:ind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w:t>
                  </w:r>
                  <w:r>
                    <w:rPr>
                      <w:rFonts w:hint="eastAsia" w:ascii="Times New Roman" w:hAnsi="Times New Roman" w:cs="Times New Roman"/>
                      <w:color w:val="auto"/>
                      <w:sz w:val="18"/>
                      <w:szCs w:val="18"/>
                      <w:lang w:val="en-US" w:eastAsia="zh-CN"/>
                    </w:rPr>
                    <w:t>项目</w:t>
                  </w:r>
                  <w:r>
                    <w:rPr>
                      <w:rFonts w:hint="eastAsia" w:ascii="Times New Roman" w:hAnsi="Times New Roman" w:eastAsia="宋体" w:cs="Times New Roman"/>
                      <w:color w:val="auto"/>
                      <w:sz w:val="18"/>
                      <w:szCs w:val="18"/>
                      <w:lang w:eastAsia="zh-CN"/>
                    </w:rPr>
                    <w:t>喷漆</w:t>
                  </w:r>
                  <w:r>
                    <w:rPr>
                      <w:rFonts w:hint="eastAsia" w:ascii="Times New Roman" w:hAnsi="Times New Roman" w:cs="Times New Roman"/>
                      <w:color w:val="auto"/>
                      <w:sz w:val="18"/>
                      <w:szCs w:val="18"/>
                      <w:lang w:val="en-US" w:eastAsia="zh-CN"/>
                    </w:rPr>
                    <w:t>和晾干</w:t>
                  </w:r>
                  <w:r>
                    <w:rPr>
                      <w:rFonts w:hint="eastAsia" w:ascii="Times New Roman" w:hAnsi="Times New Roman" w:eastAsia="宋体" w:cs="Times New Roman"/>
                      <w:color w:val="auto"/>
                      <w:sz w:val="18"/>
                      <w:szCs w:val="18"/>
                      <w:lang w:eastAsia="zh-CN"/>
                    </w:rPr>
                    <w:t>工序产生的喷漆废气</w:t>
                  </w:r>
                  <w:r>
                    <w:rPr>
                      <w:rFonts w:hint="eastAsia" w:ascii="Times New Roman" w:hAnsi="Times New Roman" w:cs="Times New Roman"/>
                      <w:color w:val="auto"/>
                      <w:sz w:val="18"/>
                      <w:szCs w:val="18"/>
                      <w:lang w:val="en-US" w:eastAsia="zh-CN"/>
                    </w:rPr>
                    <w:t>经“</w:t>
                  </w:r>
                  <w:r>
                    <w:rPr>
                      <w:rFonts w:ascii="Times New Roman" w:hAnsi="Times New Roman" w:eastAsia="宋体" w:cs="Times New Roman"/>
                      <w:color w:val="auto"/>
                      <w:sz w:val="18"/>
                      <w:szCs w:val="18"/>
                      <w:lang w:eastAsia="zh-CN"/>
                    </w:rPr>
                    <w:t>水帘</w:t>
                  </w:r>
                  <w:r>
                    <w:rPr>
                      <w:rFonts w:hint="eastAsia" w:ascii="Times New Roman" w:hAnsi="Times New Roman" w:eastAsia="宋体" w:cs="Times New Roman"/>
                      <w:color w:val="auto"/>
                      <w:sz w:val="18"/>
                      <w:szCs w:val="18"/>
                      <w:lang w:eastAsia="zh-CN"/>
                    </w:rPr>
                    <w:t>+除尘柜</w:t>
                  </w:r>
                  <w:r>
                    <w:rPr>
                      <w:rFonts w:ascii="Times New Roman" w:hAnsi="Times New Roman" w:eastAsia="宋体" w:cs="Times New Roman"/>
                      <w:color w:val="auto"/>
                      <w:sz w:val="18"/>
                      <w:szCs w:val="18"/>
                      <w:lang w:eastAsia="zh-CN"/>
                    </w:rPr>
                    <w:t>+喷淋塔+</w:t>
                  </w:r>
                  <w:r>
                    <w:rPr>
                      <w:rFonts w:hint="eastAsia" w:ascii="Times New Roman" w:hAnsi="Times New Roman" w:cs="Times New Roman"/>
                      <w:color w:val="auto"/>
                      <w:sz w:val="18"/>
                      <w:szCs w:val="18"/>
                      <w:lang w:val="en-US" w:eastAsia="zh-CN"/>
                    </w:rPr>
                    <w:t>活性炭吸附”</w:t>
                  </w:r>
                  <w:r>
                    <w:rPr>
                      <w:rFonts w:ascii="Times New Roman" w:hAnsi="Times New Roman" w:eastAsia="宋体" w:cs="Times New Roman"/>
                      <w:color w:val="auto"/>
                      <w:sz w:val="18"/>
                      <w:szCs w:val="18"/>
                      <w:lang w:eastAsia="zh-CN"/>
                    </w:rPr>
                    <w:t>进行收集处理后</w:t>
                  </w:r>
                  <w:r>
                    <w:rPr>
                      <w:rFonts w:hint="eastAsia" w:ascii="Times New Roman" w:hAnsi="Times New Roman" w:cs="Times New Roman"/>
                      <w:color w:val="auto"/>
                      <w:sz w:val="18"/>
                      <w:szCs w:val="18"/>
                      <w:lang w:val="en-US" w:eastAsia="zh-CN"/>
                    </w:rPr>
                    <w:t>通过一根</w:t>
                  </w:r>
                  <w:r>
                    <w:rPr>
                      <w:rFonts w:ascii="Times New Roman" w:hAnsi="Times New Roman" w:eastAsia="宋体" w:cs="Times New Roman"/>
                      <w:color w:val="auto"/>
                      <w:sz w:val="18"/>
                      <w:szCs w:val="18"/>
                      <w:lang w:eastAsia="zh-CN"/>
                    </w:rPr>
                    <w:t>15m排气筒</w:t>
                  </w:r>
                  <w:r>
                    <w:rPr>
                      <w:rFonts w:hint="eastAsia" w:ascii="Times New Roman" w:hAnsi="Times New Roman" w:cs="Times New Roman"/>
                      <w:color w:val="auto"/>
                      <w:sz w:val="18"/>
                      <w:szCs w:val="18"/>
                      <w:lang w:val="en-US" w:eastAsia="zh-CN"/>
                    </w:rPr>
                    <w:t>（DA001）</w:t>
                  </w:r>
                  <w:r>
                    <w:rPr>
                      <w:rFonts w:ascii="Times New Roman" w:hAnsi="Times New Roman" w:eastAsia="宋体" w:cs="Times New Roman"/>
                      <w:color w:val="auto"/>
                      <w:sz w:val="18"/>
                      <w:szCs w:val="18"/>
                      <w:lang w:eastAsia="zh-CN"/>
                    </w:rPr>
                    <w:t>排放</w:t>
                  </w:r>
                </w:p>
                <w:p w14:paraId="7CD11A6F">
                  <w:pPr>
                    <w:pStyle w:val="24"/>
                    <w:ind w:firstLine="0" w:firstLineChars="0"/>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eastAsia="zh-CN"/>
                    </w:rPr>
                    <w:t>②</w:t>
                  </w:r>
                  <w:r>
                    <w:rPr>
                      <w:rFonts w:hint="eastAsia" w:ascii="Times New Roman" w:hAnsi="Times New Roman" w:eastAsia="宋体" w:cs="Times New Roman"/>
                      <w:color w:val="auto"/>
                      <w:sz w:val="18"/>
                      <w:szCs w:val="18"/>
                      <w:lang w:eastAsia="zh-CN"/>
                    </w:rPr>
                    <w:t>粉尘：木屑粉尘经布袋除尘器处理后无组织排放；底漆打磨粉尘经水帘柜处理后无组织排放</w:t>
                  </w:r>
                </w:p>
              </w:tc>
            </w:tr>
            <w:tr w14:paraId="211E4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tcBorders>
                    <w:tl2br w:val="nil"/>
                    <w:tr2bl w:val="nil"/>
                  </w:tcBorders>
                  <w:vAlign w:val="center"/>
                </w:tcPr>
                <w:p w14:paraId="34087923">
                  <w:pPr>
                    <w:pStyle w:val="24"/>
                    <w:rPr>
                      <w:rFonts w:hint="default" w:ascii="Times New Roman" w:hAnsi="Times New Roman" w:cs="Times New Roman"/>
                      <w:color w:val="auto"/>
                      <w:sz w:val="18"/>
                      <w:szCs w:val="18"/>
                    </w:rPr>
                  </w:pPr>
                </w:p>
              </w:tc>
              <w:tc>
                <w:tcPr>
                  <w:tcW w:w="1582" w:type="dxa"/>
                  <w:tcBorders>
                    <w:tl2br w:val="nil"/>
                    <w:tr2bl w:val="nil"/>
                  </w:tcBorders>
                  <w:vAlign w:val="center"/>
                </w:tcPr>
                <w:p w14:paraId="5490C081">
                  <w:pPr>
                    <w:pStyle w:val="24"/>
                    <w:ind w:firstLine="0"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w:t>
                  </w:r>
                </w:p>
              </w:tc>
              <w:tc>
                <w:tcPr>
                  <w:tcW w:w="5499" w:type="dxa"/>
                  <w:tcBorders>
                    <w:tl2br w:val="nil"/>
                    <w:tr2bl w:val="nil"/>
                  </w:tcBorders>
                  <w:vAlign w:val="center"/>
                </w:tcPr>
                <w:p w14:paraId="484EE81D">
                  <w:pPr>
                    <w:pStyle w:val="24"/>
                    <w:ind w:firstLine="0" w:firstLineChars="0"/>
                    <w:jc w:val="both"/>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对高噪声设备拟采取减振、隔声措施</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厂房基础减震隔声</w:t>
                  </w:r>
                </w:p>
              </w:tc>
            </w:tr>
            <w:tr w14:paraId="2E88D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tcBorders>
                    <w:tl2br w:val="nil"/>
                    <w:tr2bl w:val="nil"/>
                  </w:tcBorders>
                  <w:vAlign w:val="center"/>
                </w:tcPr>
                <w:p w14:paraId="47C67DCB">
                  <w:pPr>
                    <w:pStyle w:val="24"/>
                    <w:rPr>
                      <w:rFonts w:hint="default" w:ascii="Times New Roman" w:hAnsi="Times New Roman" w:cs="Times New Roman"/>
                      <w:color w:val="auto"/>
                      <w:sz w:val="18"/>
                      <w:szCs w:val="18"/>
                    </w:rPr>
                  </w:pPr>
                </w:p>
              </w:tc>
              <w:tc>
                <w:tcPr>
                  <w:tcW w:w="1582" w:type="dxa"/>
                  <w:tcBorders>
                    <w:tl2br w:val="nil"/>
                    <w:tr2bl w:val="nil"/>
                  </w:tcBorders>
                  <w:vAlign w:val="center"/>
                </w:tcPr>
                <w:p w14:paraId="77C2594C">
                  <w:pPr>
                    <w:pStyle w:val="24"/>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废水治理</w:t>
                  </w:r>
                </w:p>
              </w:tc>
              <w:tc>
                <w:tcPr>
                  <w:tcW w:w="5499" w:type="dxa"/>
                  <w:tcBorders>
                    <w:tl2br w:val="nil"/>
                    <w:tr2bl w:val="nil"/>
                  </w:tcBorders>
                  <w:vAlign w:val="center"/>
                </w:tcPr>
                <w:p w14:paraId="7A40CC98">
                  <w:pPr>
                    <w:pStyle w:val="24"/>
                    <w:ind w:firstLine="0" w:firstLineChars="0"/>
                    <w:jc w:val="both"/>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雨污分流制。项目生活污水经出租方化粪池预处理后纳入市政污水管网排入秀屿区污水处理厂进行深度处理。</w:t>
                  </w:r>
                </w:p>
              </w:tc>
            </w:tr>
            <w:tr w14:paraId="00576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tcBorders>
                    <w:tl2br w:val="nil"/>
                    <w:tr2bl w:val="nil"/>
                  </w:tcBorders>
                  <w:vAlign w:val="center"/>
                </w:tcPr>
                <w:p w14:paraId="55E90023">
                  <w:pPr>
                    <w:pStyle w:val="24"/>
                    <w:rPr>
                      <w:rFonts w:hint="default" w:ascii="Times New Roman" w:hAnsi="Times New Roman" w:cs="Times New Roman"/>
                      <w:color w:val="auto"/>
                      <w:sz w:val="18"/>
                      <w:szCs w:val="18"/>
                    </w:rPr>
                  </w:pPr>
                </w:p>
              </w:tc>
              <w:tc>
                <w:tcPr>
                  <w:tcW w:w="1582" w:type="dxa"/>
                  <w:tcBorders>
                    <w:tl2br w:val="nil"/>
                    <w:tr2bl w:val="nil"/>
                  </w:tcBorders>
                  <w:vAlign w:val="center"/>
                </w:tcPr>
                <w:p w14:paraId="5B8784AA">
                  <w:pPr>
                    <w:pStyle w:val="24"/>
                    <w:ind w:firstLine="0"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w:t>
                  </w:r>
                </w:p>
              </w:tc>
              <w:tc>
                <w:tcPr>
                  <w:tcW w:w="5499" w:type="dxa"/>
                  <w:tcBorders>
                    <w:tl2br w:val="nil"/>
                    <w:tr2bl w:val="nil"/>
                  </w:tcBorders>
                  <w:vAlign w:val="center"/>
                </w:tcPr>
                <w:p w14:paraId="16A263B0">
                  <w:pPr>
                    <w:pStyle w:val="24"/>
                    <w:ind w:firstLine="0" w:firstLineChars="0"/>
                    <w:jc w:val="both"/>
                    <w:rPr>
                      <w:rFonts w:hint="default" w:ascii="Times New Roman" w:hAnsi="Times New Roman" w:cs="Times New Roman"/>
                      <w:color w:val="auto"/>
                      <w:sz w:val="18"/>
                      <w:szCs w:val="18"/>
                      <w:lang w:val="en-US" w:eastAsia="zh-CN"/>
                    </w:rPr>
                  </w:pPr>
                  <w:r>
                    <w:rPr>
                      <w:rFonts w:ascii="宋体" w:hAnsi="宋体" w:eastAsia="宋体" w:cs="宋体"/>
                      <w:color w:val="auto"/>
                      <w:sz w:val="18"/>
                      <w:szCs w:val="18"/>
                    </w:rPr>
                    <w:t>固废暂存间、危废暂存间、生活垃圾收集点</w:t>
                  </w:r>
                </w:p>
              </w:tc>
            </w:tr>
            <w:tr w14:paraId="4DD7E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tcBorders>
                    <w:tl2br w:val="nil"/>
                    <w:tr2bl w:val="nil"/>
                  </w:tcBorders>
                  <w:vAlign w:val="center"/>
                </w:tcPr>
                <w:p w14:paraId="0EE21782">
                  <w:pPr>
                    <w:pStyle w:val="24"/>
                    <w:rPr>
                      <w:rFonts w:hint="default" w:ascii="Times New Roman" w:hAnsi="Times New Roman" w:cs="Times New Roman"/>
                      <w:color w:val="auto"/>
                      <w:sz w:val="18"/>
                      <w:szCs w:val="18"/>
                    </w:rPr>
                  </w:pPr>
                </w:p>
              </w:tc>
              <w:tc>
                <w:tcPr>
                  <w:tcW w:w="1582" w:type="dxa"/>
                  <w:tcBorders>
                    <w:tl2br w:val="nil"/>
                    <w:tr2bl w:val="nil"/>
                  </w:tcBorders>
                  <w:vAlign w:val="center"/>
                </w:tcPr>
                <w:p w14:paraId="411BFF10">
                  <w:pPr>
                    <w:pStyle w:val="24"/>
                    <w:ind w:firstLine="0"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风险防范</w:t>
                  </w:r>
                </w:p>
              </w:tc>
              <w:tc>
                <w:tcPr>
                  <w:tcW w:w="5499" w:type="dxa"/>
                  <w:tcBorders>
                    <w:tl2br w:val="nil"/>
                    <w:tr2bl w:val="nil"/>
                  </w:tcBorders>
                  <w:vAlign w:val="center"/>
                </w:tcPr>
                <w:p w14:paraId="48EF8A76">
                  <w:pPr>
                    <w:pStyle w:val="24"/>
                    <w:ind w:firstLine="0" w:firstLineChars="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原料仓库设置围堰</w:t>
                  </w:r>
                </w:p>
              </w:tc>
            </w:tr>
            <w:tr w14:paraId="5FDAF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restart"/>
                  <w:tcBorders>
                    <w:tl2br w:val="nil"/>
                    <w:tr2bl w:val="nil"/>
                  </w:tcBorders>
                  <w:vAlign w:val="center"/>
                </w:tcPr>
                <w:p w14:paraId="640DE55E">
                  <w:pPr>
                    <w:pStyle w:val="24"/>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公用工程</w:t>
                  </w:r>
                </w:p>
              </w:tc>
              <w:tc>
                <w:tcPr>
                  <w:tcW w:w="1582" w:type="dxa"/>
                  <w:tcBorders>
                    <w:tl2br w:val="nil"/>
                    <w:tr2bl w:val="nil"/>
                  </w:tcBorders>
                  <w:vAlign w:val="center"/>
                </w:tcPr>
                <w:p w14:paraId="19890B1B">
                  <w:pPr>
                    <w:pStyle w:val="24"/>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供电工程</w:t>
                  </w:r>
                </w:p>
              </w:tc>
              <w:tc>
                <w:tcPr>
                  <w:tcW w:w="5499" w:type="dxa"/>
                  <w:tcBorders>
                    <w:tl2br w:val="nil"/>
                    <w:tr2bl w:val="nil"/>
                  </w:tcBorders>
                  <w:vAlign w:val="center"/>
                </w:tcPr>
                <w:p w14:paraId="10CC5CEF">
                  <w:pPr>
                    <w:pStyle w:val="24"/>
                    <w:ind w:firstLine="0" w:firstLineChars="0"/>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市政供电，经变压后，向各用电处供电</w:t>
                  </w:r>
                </w:p>
              </w:tc>
            </w:tr>
            <w:tr w14:paraId="00A51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dxa"/>
                  <w:vMerge w:val="continue"/>
                  <w:tcBorders>
                    <w:tl2br w:val="nil"/>
                    <w:tr2bl w:val="nil"/>
                  </w:tcBorders>
                  <w:vAlign w:val="center"/>
                </w:tcPr>
                <w:p w14:paraId="741CF2FD">
                  <w:pPr>
                    <w:pStyle w:val="24"/>
                    <w:rPr>
                      <w:rFonts w:hint="default" w:ascii="Times New Roman" w:hAnsi="Times New Roman" w:cs="Times New Roman"/>
                      <w:color w:val="auto"/>
                      <w:sz w:val="18"/>
                      <w:szCs w:val="18"/>
                      <w:lang w:eastAsia="zh-CN"/>
                    </w:rPr>
                  </w:pPr>
                </w:p>
              </w:tc>
              <w:tc>
                <w:tcPr>
                  <w:tcW w:w="1582" w:type="dxa"/>
                  <w:tcBorders>
                    <w:tl2br w:val="nil"/>
                    <w:tr2bl w:val="nil"/>
                  </w:tcBorders>
                  <w:vAlign w:val="center"/>
                </w:tcPr>
                <w:p w14:paraId="00EBD8B5">
                  <w:pPr>
                    <w:pStyle w:val="24"/>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给排水工程</w:t>
                  </w:r>
                </w:p>
              </w:tc>
              <w:tc>
                <w:tcPr>
                  <w:tcW w:w="5499" w:type="dxa"/>
                  <w:tcBorders>
                    <w:tl2br w:val="nil"/>
                    <w:tr2bl w:val="nil"/>
                  </w:tcBorders>
                  <w:vAlign w:val="center"/>
                </w:tcPr>
                <w:p w14:paraId="16F8F503">
                  <w:pPr>
                    <w:pStyle w:val="24"/>
                    <w:ind w:firstLine="0" w:firstLineChars="0"/>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给水管网由园区给水管网接出，排水接入市政污水管网</w:t>
                  </w:r>
                </w:p>
              </w:tc>
            </w:tr>
          </w:tbl>
          <w:p w14:paraId="2CAF5BBF">
            <w:pPr>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3.主要生产设备</w:t>
            </w:r>
            <w:r>
              <w:rPr>
                <w:rFonts w:hint="eastAsia" w:cs="Times New Roman"/>
                <w:b/>
                <w:bCs/>
                <w:lang w:val="en-US" w:eastAsia="zh-CN"/>
              </w:rPr>
              <w:t>及环保设施表</w:t>
            </w:r>
          </w:p>
          <w:p w14:paraId="6D91EB50">
            <w:p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项目主要生产设备见表2-3</w:t>
            </w:r>
            <w:r>
              <w:rPr>
                <w:rFonts w:hint="eastAsia" w:cs="Times New Roman"/>
                <w:lang w:val="en-US" w:eastAsia="zh-CN"/>
              </w:rPr>
              <w:t>。</w:t>
            </w:r>
          </w:p>
          <w:p w14:paraId="092F63C2">
            <w:pPr>
              <w:pStyle w:val="6"/>
              <w:widowControl w:val="0"/>
              <w:wordWrap/>
              <w:adjustRightInd/>
              <w:snapToGrid/>
              <w:spacing w:line="360" w:lineRule="auto"/>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表2-3</w:t>
            </w:r>
            <w:r>
              <w:rPr>
                <w:rFonts w:hint="eastAsia" w:cs="Times New Roman"/>
                <w:b/>
                <w:bCs/>
                <w:lang w:val="en-US" w:eastAsia="zh-CN"/>
              </w:rPr>
              <w:t xml:space="preserve">  </w:t>
            </w:r>
            <w:r>
              <w:rPr>
                <w:rFonts w:hint="default" w:ascii="Times New Roman" w:hAnsi="Times New Roman" w:cs="Times New Roman"/>
                <w:b/>
                <w:bCs/>
                <w:lang w:val="en-US" w:eastAsia="zh-CN"/>
              </w:rPr>
              <w:t>项目主要生产设备一览表</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3719"/>
              <w:gridCol w:w="3370"/>
            </w:tblGrid>
            <w:tr w14:paraId="19FC2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12" w:type="pct"/>
                  <w:tcBorders>
                    <w:tl2br w:val="nil"/>
                    <w:tr2bl w:val="nil"/>
                  </w:tcBorders>
                  <w:vAlign w:val="center"/>
                </w:tcPr>
                <w:p w14:paraId="62FDFF9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2249" w:type="pct"/>
                  <w:tcBorders>
                    <w:tl2br w:val="nil"/>
                    <w:tr2bl w:val="nil"/>
                  </w:tcBorders>
                  <w:vAlign w:val="center"/>
                </w:tcPr>
                <w:p w14:paraId="1937B40D">
                  <w:pPr>
                    <w:ind w:left="0" w:leftChars="0" w:firstLine="0" w:firstLineChars="0"/>
                    <w:jc w:val="center"/>
                    <w:rPr>
                      <w:rFonts w:hint="default"/>
                      <w:b/>
                      <w:bCs/>
                      <w:sz w:val="18"/>
                      <w:szCs w:val="18"/>
                      <w:lang w:val="en-US" w:eastAsia="zh-CN"/>
                    </w:rPr>
                  </w:pPr>
                  <w:r>
                    <w:rPr>
                      <w:rFonts w:hint="default"/>
                      <w:b/>
                      <w:bCs/>
                      <w:sz w:val="18"/>
                      <w:szCs w:val="18"/>
                      <w:lang w:val="en-US" w:eastAsia="zh-CN"/>
                    </w:rPr>
                    <w:t>设备名称</w:t>
                  </w:r>
                </w:p>
              </w:tc>
              <w:tc>
                <w:tcPr>
                  <w:tcW w:w="2038" w:type="pct"/>
                  <w:tcBorders>
                    <w:tl2br w:val="nil"/>
                    <w:tr2bl w:val="nil"/>
                  </w:tcBorders>
                  <w:vAlign w:val="center"/>
                </w:tcPr>
                <w:p w14:paraId="1F6537C4">
                  <w:pPr>
                    <w:ind w:left="0" w:leftChars="0" w:firstLine="0" w:firstLineChars="0"/>
                    <w:jc w:val="center"/>
                    <w:rPr>
                      <w:rFonts w:hint="default"/>
                      <w:b/>
                      <w:bCs/>
                      <w:sz w:val="18"/>
                      <w:szCs w:val="18"/>
                      <w:lang w:val="en-US" w:eastAsia="zh-CN"/>
                    </w:rPr>
                  </w:pPr>
                  <w:r>
                    <w:rPr>
                      <w:rFonts w:hint="default"/>
                      <w:b/>
                      <w:bCs/>
                      <w:sz w:val="18"/>
                      <w:szCs w:val="18"/>
                      <w:lang w:val="en-US" w:eastAsia="zh-CN"/>
                    </w:rPr>
                    <w:t>数量（台）</w:t>
                  </w:r>
                </w:p>
              </w:tc>
            </w:tr>
            <w:tr w14:paraId="0BA1D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44EC961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249" w:type="pct"/>
                  <w:tcBorders>
                    <w:tl2br w:val="nil"/>
                    <w:tr2bl w:val="nil"/>
                  </w:tcBorders>
                  <w:vAlign w:val="center"/>
                </w:tcPr>
                <w:p w14:paraId="224078A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断料机</w:t>
                  </w:r>
                </w:p>
              </w:tc>
              <w:tc>
                <w:tcPr>
                  <w:tcW w:w="2038" w:type="pct"/>
                  <w:tcBorders>
                    <w:tl2br w:val="nil"/>
                    <w:tr2bl w:val="nil"/>
                  </w:tcBorders>
                  <w:vAlign w:val="center"/>
                </w:tcPr>
                <w:p w14:paraId="19756DF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C43C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385D942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249" w:type="pct"/>
                  <w:tcBorders>
                    <w:tl2br w:val="nil"/>
                    <w:tr2bl w:val="nil"/>
                  </w:tcBorders>
                  <w:vAlign w:val="center"/>
                </w:tcPr>
                <w:p w14:paraId="23468E3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单片锯</w:t>
                  </w:r>
                </w:p>
              </w:tc>
              <w:tc>
                <w:tcPr>
                  <w:tcW w:w="2038" w:type="pct"/>
                  <w:tcBorders>
                    <w:tl2br w:val="nil"/>
                    <w:tr2bl w:val="nil"/>
                  </w:tcBorders>
                  <w:vAlign w:val="center"/>
                </w:tcPr>
                <w:p w14:paraId="5A65A22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20D7A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6040A6A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2249" w:type="pct"/>
                  <w:tcBorders>
                    <w:tl2br w:val="nil"/>
                    <w:tr2bl w:val="nil"/>
                  </w:tcBorders>
                  <w:vAlign w:val="center"/>
                </w:tcPr>
                <w:p w14:paraId="09E9102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精切锯</w:t>
                  </w:r>
                </w:p>
              </w:tc>
              <w:tc>
                <w:tcPr>
                  <w:tcW w:w="2038" w:type="pct"/>
                  <w:tcBorders>
                    <w:tl2br w:val="nil"/>
                    <w:tr2bl w:val="nil"/>
                  </w:tcBorders>
                  <w:vAlign w:val="center"/>
                </w:tcPr>
                <w:p w14:paraId="781E070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w:t>
                  </w:r>
                </w:p>
              </w:tc>
            </w:tr>
            <w:tr w14:paraId="4D0D4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4F7C50D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249" w:type="pct"/>
                  <w:tcBorders>
                    <w:tl2br w:val="nil"/>
                    <w:tr2bl w:val="nil"/>
                  </w:tcBorders>
                  <w:vAlign w:val="center"/>
                </w:tcPr>
                <w:p w14:paraId="0F4C411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纵向带锯</w:t>
                  </w:r>
                </w:p>
              </w:tc>
              <w:tc>
                <w:tcPr>
                  <w:tcW w:w="2038" w:type="pct"/>
                  <w:tcBorders>
                    <w:tl2br w:val="nil"/>
                    <w:tr2bl w:val="nil"/>
                  </w:tcBorders>
                  <w:vAlign w:val="center"/>
                </w:tcPr>
                <w:p w14:paraId="30F6E18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736FA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62F09F0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2249" w:type="pct"/>
                  <w:tcBorders>
                    <w:tl2br w:val="nil"/>
                    <w:tr2bl w:val="nil"/>
                  </w:tcBorders>
                  <w:vAlign w:val="center"/>
                </w:tcPr>
                <w:p w14:paraId="4F2ED28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数控机</w:t>
                  </w:r>
                </w:p>
              </w:tc>
              <w:tc>
                <w:tcPr>
                  <w:tcW w:w="2038" w:type="pct"/>
                  <w:tcBorders>
                    <w:tl2br w:val="nil"/>
                    <w:tr2bl w:val="nil"/>
                  </w:tcBorders>
                  <w:vAlign w:val="center"/>
                </w:tcPr>
                <w:p w14:paraId="468D271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69FBE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4411612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2249" w:type="pct"/>
                  <w:tcBorders>
                    <w:tl2br w:val="nil"/>
                    <w:tr2bl w:val="nil"/>
                  </w:tcBorders>
                  <w:vAlign w:val="center"/>
                </w:tcPr>
                <w:p w14:paraId="7ECB1CC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四面创光机</w:t>
                  </w:r>
                </w:p>
              </w:tc>
              <w:tc>
                <w:tcPr>
                  <w:tcW w:w="2038" w:type="pct"/>
                  <w:tcBorders>
                    <w:tl2br w:val="nil"/>
                    <w:tr2bl w:val="nil"/>
                  </w:tcBorders>
                  <w:vAlign w:val="center"/>
                </w:tcPr>
                <w:p w14:paraId="1EFB9291">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A02D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30B25DC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2249" w:type="pct"/>
                  <w:tcBorders>
                    <w:tl2br w:val="nil"/>
                    <w:tr2bl w:val="nil"/>
                  </w:tcBorders>
                  <w:vAlign w:val="center"/>
                </w:tcPr>
                <w:p w14:paraId="12CBF39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仿型机</w:t>
                  </w:r>
                </w:p>
              </w:tc>
              <w:tc>
                <w:tcPr>
                  <w:tcW w:w="2038" w:type="pct"/>
                  <w:tcBorders>
                    <w:tl2br w:val="nil"/>
                    <w:tr2bl w:val="nil"/>
                  </w:tcBorders>
                  <w:vAlign w:val="center"/>
                </w:tcPr>
                <w:p w14:paraId="13E771F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C2CB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57241F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2249" w:type="pct"/>
                  <w:tcBorders>
                    <w:tl2br w:val="nil"/>
                    <w:tr2bl w:val="nil"/>
                  </w:tcBorders>
                  <w:vAlign w:val="center"/>
                </w:tcPr>
                <w:p w14:paraId="03F66BB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平创机</w:t>
                  </w:r>
                </w:p>
              </w:tc>
              <w:tc>
                <w:tcPr>
                  <w:tcW w:w="2038" w:type="pct"/>
                  <w:tcBorders>
                    <w:tl2br w:val="nil"/>
                    <w:tr2bl w:val="nil"/>
                  </w:tcBorders>
                  <w:vAlign w:val="center"/>
                </w:tcPr>
                <w:p w14:paraId="798B71D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6D044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0DC2DF3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2249" w:type="pct"/>
                  <w:tcBorders>
                    <w:tl2br w:val="nil"/>
                    <w:tr2bl w:val="nil"/>
                  </w:tcBorders>
                  <w:vAlign w:val="center"/>
                </w:tcPr>
                <w:p w14:paraId="2C0C0D7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拼板机</w:t>
                  </w:r>
                </w:p>
              </w:tc>
              <w:tc>
                <w:tcPr>
                  <w:tcW w:w="2038" w:type="pct"/>
                  <w:tcBorders>
                    <w:tl2br w:val="nil"/>
                    <w:tr2bl w:val="nil"/>
                  </w:tcBorders>
                  <w:vAlign w:val="center"/>
                </w:tcPr>
                <w:p w14:paraId="7B6DE93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6D75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4BEE0AA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2249" w:type="pct"/>
                  <w:tcBorders>
                    <w:tl2br w:val="nil"/>
                    <w:tr2bl w:val="nil"/>
                  </w:tcBorders>
                  <w:vAlign w:val="center"/>
                </w:tcPr>
                <w:p w14:paraId="20BF799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压创机</w:t>
                  </w:r>
                </w:p>
              </w:tc>
              <w:tc>
                <w:tcPr>
                  <w:tcW w:w="2038" w:type="pct"/>
                  <w:tcBorders>
                    <w:tl2br w:val="nil"/>
                    <w:tr2bl w:val="nil"/>
                  </w:tcBorders>
                  <w:vAlign w:val="center"/>
                </w:tcPr>
                <w:p w14:paraId="59B0775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83AE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383DEA5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2249" w:type="pct"/>
                  <w:tcBorders>
                    <w:tl2br w:val="nil"/>
                    <w:tr2bl w:val="nil"/>
                  </w:tcBorders>
                  <w:vAlign w:val="center"/>
                </w:tcPr>
                <w:p w14:paraId="27AC064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砂光机</w:t>
                  </w:r>
                </w:p>
              </w:tc>
              <w:tc>
                <w:tcPr>
                  <w:tcW w:w="2038" w:type="pct"/>
                  <w:tcBorders>
                    <w:tl2br w:val="nil"/>
                    <w:tr2bl w:val="nil"/>
                  </w:tcBorders>
                  <w:vAlign w:val="center"/>
                </w:tcPr>
                <w:p w14:paraId="5715B63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7D6AC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24BE907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2249" w:type="pct"/>
                  <w:tcBorders>
                    <w:tl2br w:val="nil"/>
                    <w:tr2bl w:val="nil"/>
                  </w:tcBorders>
                  <w:vAlign w:val="center"/>
                </w:tcPr>
                <w:p w14:paraId="461E6EF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精雕机</w:t>
                  </w:r>
                </w:p>
              </w:tc>
              <w:tc>
                <w:tcPr>
                  <w:tcW w:w="2038" w:type="pct"/>
                  <w:tcBorders>
                    <w:tl2br w:val="nil"/>
                    <w:tr2bl w:val="nil"/>
                  </w:tcBorders>
                  <w:vAlign w:val="center"/>
                </w:tcPr>
                <w:p w14:paraId="174ECA1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A96F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F4B5A5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2249" w:type="pct"/>
                  <w:tcBorders>
                    <w:tl2br w:val="nil"/>
                    <w:tr2bl w:val="nil"/>
                  </w:tcBorders>
                  <w:vAlign w:val="center"/>
                </w:tcPr>
                <w:p w14:paraId="09EE380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五叠锯</w:t>
                  </w:r>
                </w:p>
              </w:tc>
              <w:tc>
                <w:tcPr>
                  <w:tcW w:w="2038" w:type="pct"/>
                  <w:tcBorders>
                    <w:tl2br w:val="nil"/>
                    <w:tr2bl w:val="nil"/>
                  </w:tcBorders>
                  <w:vAlign w:val="center"/>
                </w:tcPr>
                <w:p w14:paraId="7E01926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w:t>
                  </w:r>
                </w:p>
              </w:tc>
            </w:tr>
            <w:tr w14:paraId="45B32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2A017C0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2249" w:type="pct"/>
                  <w:tcBorders>
                    <w:tl2br w:val="nil"/>
                    <w:tr2bl w:val="nil"/>
                  </w:tcBorders>
                  <w:vAlign w:val="center"/>
                </w:tcPr>
                <w:p w14:paraId="07FA936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立铣机</w:t>
                  </w:r>
                </w:p>
              </w:tc>
              <w:tc>
                <w:tcPr>
                  <w:tcW w:w="2038" w:type="pct"/>
                  <w:tcBorders>
                    <w:tl2br w:val="nil"/>
                    <w:tr2bl w:val="nil"/>
                  </w:tcBorders>
                  <w:vAlign w:val="center"/>
                </w:tcPr>
                <w:p w14:paraId="7AB89FD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w:t>
                  </w:r>
                </w:p>
              </w:tc>
            </w:tr>
            <w:tr w14:paraId="0693C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42F2E7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2249" w:type="pct"/>
                  <w:tcBorders>
                    <w:tl2br w:val="nil"/>
                    <w:tr2bl w:val="nil"/>
                  </w:tcBorders>
                  <w:vAlign w:val="center"/>
                </w:tcPr>
                <w:p w14:paraId="6E95F64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小锣机</w:t>
                  </w:r>
                </w:p>
              </w:tc>
              <w:tc>
                <w:tcPr>
                  <w:tcW w:w="2038" w:type="pct"/>
                  <w:tcBorders>
                    <w:tl2br w:val="nil"/>
                    <w:tr2bl w:val="nil"/>
                  </w:tcBorders>
                  <w:vAlign w:val="center"/>
                </w:tcPr>
                <w:p w14:paraId="4A9C572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w:t>
                  </w:r>
                </w:p>
              </w:tc>
            </w:tr>
            <w:tr w14:paraId="7ACD9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525F191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2249" w:type="pct"/>
                  <w:tcBorders>
                    <w:tl2br w:val="nil"/>
                    <w:tr2bl w:val="nil"/>
                  </w:tcBorders>
                  <w:vAlign w:val="center"/>
                </w:tcPr>
                <w:p w14:paraId="6D45DA1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大锣机</w:t>
                  </w:r>
                </w:p>
              </w:tc>
              <w:tc>
                <w:tcPr>
                  <w:tcW w:w="2038" w:type="pct"/>
                  <w:tcBorders>
                    <w:tl2br w:val="nil"/>
                    <w:tr2bl w:val="nil"/>
                  </w:tcBorders>
                  <w:vAlign w:val="center"/>
                </w:tcPr>
                <w:p w14:paraId="46EFA21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63434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4E10578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2249" w:type="pct"/>
                  <w:tcBorders>
                    <w:tl2br w:val="nil"/>
                    <w:tr2bl w:val="nil"/>
                  </w:tcBorders>
                  <w:vAlign w:val="center"/>
                </w:tcPr>
                <w:p w14:paraId="488246A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燕尾榫机</w:t>
                  </w:r>
                </w:p>
              </w:tc>
              <w:tc>
                <w:tcPr>
                  <w:tcW w:w="2038" w:type="pct"/>
                  <w:tcBorders>
                    <w:tl2br w:val="nil"/>
                    <w:tr2bl w:val="nil"/>
                  </w:tcBorders>
                  <w:vAlign w:val="center"/>
                </w:tcPr>
                <w:p w14:paraId="6B9BBDA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65B9B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3F316DD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2249" w:type="pct"/>
                  <w:tcBorders>
                    <w:tl2br w:val="nil"/>
                    <w:tr2bl w:val="nil"/>
                  </w:tcBorders>
                  <w:vAlign w:val="center"/>
                </w:tcPr>
                <w:p w14:paraId="0E2DDC6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单头出榫机</w:t>
                  </w:r>
                </w:p>
              </w:tc>
              <w:tc>
                <w:tcPr>
                  <w:tcW w:w="2038" w:type="pct"/>
                  <w:tcBorders>
                    <w:tl2br w:val="nil"/>
                    <w:tr2bl w:val="nil"/>
                  </w:tcBorders>
                  <w:vAlign w:val="center"/>
                </w:tcPr>
                <w:p w14:paraId="7ED988F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F66C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2FCECB0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2249" w:type="pct"/>
                  <w:tcBorders>
                    <w:tl2br w:val="nil"/>
                    <w:tr2bl w:val="nil"/>
                  </w:tcBorders>
                  <w:vAlign w:val="center"/>
                </w:tcPr>
                <w:p w14:paraId="61611A2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打眼机</w:t>
                  </w:r>
                </w:p>
              </w:tc>
              <w:tc>
                <w:tcPr>
                  <w:tcW w:w="2038" w:type="pct"/>
                  <w:tcBorders>
                    <w:tl2br w:val="nil"/>
                    <w:tr2bl w:val="nil"/>
                  </w:tcBorders>
                  <w:vAlign w:val="center"/>
                </w:tcPr>
                <w:p w14:paraId="3BA447A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0C895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5CB30D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2249" w:type="pct"/>
                  <w:tcBorders>
                    <w:tl2br w:val="nil"/>
                    <w:tr2bl w:val="nil"/>
                  </w:tcBorders>
                  <w:vAlign w:val="center"/>
                </w:tcPr>
                <w:p w14:paraId="7F3D976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手动打眼机</w:t>
                  </w:r>
                </w:p>
              </w:tc>
              <w:tc>
                <w:tcPr>
                  <w:tcW w:w="2038" w:type="pct"/>
                  <w:tcBorders>
                    <w:tl2br w:val="nil"/>
                    <w:tr2bl w:val="nil"/>
                  </w:tcBorders>
                  <w:vAlign w:val="center"/>
                </w:tcPr>
                <w:p w14:paraId="7690EBC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1760D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0A1ADE8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2249" w:type="pct"/>
                  <w:tcBorders>
                    <w:tl2br w:val="nil"/>
                    <w:tr2bl w:val="nil"/>
                  </w:tcBorders>
                  <w:vAlign w:val="center"/>
                </w:tcPr>
                <w:p w14:paraId="4B3D6801">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螺杆空压机</w:t>
                  </w:r>
                </w:p>
              </w:tc>
              <w:tc>
                <w:tcPr>
                  <w:tcW w:w="2038" w:type="pct"/>
                  <w:tcBorders>
                    <w:tl2br w:val="nil"/>
                    <w:tr2bl w:val="nil"/>
                  </w:tcBorders>
                  <w:vAlign w:val="center"/>
                </w:tcPr>
                <w:p w14:paraId="6EEF088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454D9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3657825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2249" w:type="pct"/>
                  <w:tcBorders>
                    <w:tl2br w:val="nil"/>
                    <w:tr2bl w:val="nil"/>
                  </w:tcBorders>
                  <w:vAlign w:val="center"/>
                </w:tcPr>
                <w:p w14:paraId="5C94D8A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空气干燥机</w:t>
                  </w:r>
                </w:p>
              </w:tc>
              <w:tc>
                <w:tcPr>
                  <w:tcW w:w="2038" w:type="pct"/>
                  <w:tcBorders>
                    <w:tl2br w:val="nil"/>
                    <w:tr2bl w:val="nil"/>
                  </w:tcBorders>
                  <w:vAlign w:val="center"/>
                </w:tcPr>
                <w:p w14:paraId="5DB2DFE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7685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4352A4E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2249" w:type="pct"/>
                  <w:tcBorders>
                    <w:tl2br w:val="nil"/>
                    <w:tr2bl w:val="nil"/>
                  </w:tcBorders>
                  <w:vAlign w:val="center"/>
                </w:tcPr>
                <w:p w14:paraId="593993D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储气罐</w:t>
                  </w:r>
                </w:p>
              </w:tc>
              <w:tc>
                <w:tcPr>
                  <w:tcW w:w="2038" w:type="pct"/>
                  <w:tcBorders>
                    <w:tl2br w:val="nil"/>
                    <w:tr2bl w:val="nil"/>
                  </w:tcBorders>
                  <w:vAlign w:val="center"/>
                </w:tcPr>
                <w:p w14:paraId="32B4851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04C3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2D197A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2249" w:type="pct"/>
                  <w:tcBorders>
                    <w:tl2br w:val="nil"/>
                    <w:tr2bl w:val="nil"/>
                  </w:tcBorders>
                  <w:vAlign w:val="center"/>
                </w:tcPr>
                <w:p w14:paraId="03FCDB4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双桶布袋吸尘</w:t>
                  </w:r>
                </w:p>
              </w:tc>
              <w:tc>
                <w:tcPr>
                  <w:tcW w:w="2038" w:type="pct"/>
                  <w:tcBorders>
                    <w:tl2br w:val="nil"/>
                    <w:tr2bl w:val="nil"/>
                  </w:tcBorders>
                  <w:vAlign w:val="center"/>
                </w:tcPr>
                <w:p w14:paraId="2CEE616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w:t>
                  </w:r>
                </w:p>
              </w:tc>
            </w:tr>
            <w:tr w14:paraId="2BB09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9D99C6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2249" w:type="pct"/>
                  <w:tcBorders>
                    <w:tl2br w:val="nil"/>
                    <w:tr2bl w:val="nil"/>
                  </w:tcBorders>
                  <w:vAlign w:val="center"/>
                </w:tcPr>
                <w:p w14:paraId="0FFEFB0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吸尘器</w:t>
                  </w:r>
                </w:p>
              </w:tc>
              <w:tc>
                <w:tcPr>
                  <w:tcW w:w="2038" w:type="pct"/>
                  <w:tcBorders>
                    <w:tl2br w:val="nil"/>
                    <w:tr2bl w:val="nil"/>
                  </w:tcBorders>
                  <w:vAlign w:val="center"/>
                </w:tcPr>
                <w:p w14:paraId="065D819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6BC6C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7BCDA58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2249" w:type="pct"/>
                  <w:tcBorders>
                    <w:tl2br w:val="nil"/>
                    <w:tr2bl w:val="nil"/>
                  </w:tcBorders>
                  <w:vAlign w:val="center"/>
                </w:tcPr>
                <w:p w14:paraId="5B88C13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水帘喷漆房</w:t>
                  </w:r>
                </w:p>
              </w:tc>
              <w:tc>
                <w:tcPr>
                  <w:tcW w:w="2038" w:type="pct"/>
                  <w:tcBorders>
                    <w:tl2br w:val="nil"/>
                    <w:tr2bl w:val="nil"/>
                  </w:tcBorders>
                  <w:vAlign w:val="center"/>
                </w:tcPr>
                <w:p w14:paraId="2E85455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01C60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2704DA8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2249" w:type="pct"/>
                  <w:tcBorders>
                    <w:tl2br w:val="nil"/>
                    <w:tr2bl w:val="nil"/>
                  </w:tcBorders>
                  <w:vAlign w:val="center"/>
                </w:tcPr>
                <w:p w14:paraId="46D6BFF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水帘吸尘</w:t>
                  </w:r>
                </w:p>
              </w:tc>
              <w:tc>
                <w:tcPr>
                  <w:tcW w:w="2038" w:type="pct"/>
                  <w:tcBorders>
                    <w:tl2br w:val="nil"/>
                    <w:tr2bl w:val="nil"/>
                  </w:tcBorders>
                  <w:vAlign w:val="center"/>
                </w:tcPr>
                <w:p w14:paraId="6E266B4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w:t>
                  </w:r>
                </w:p>
              </w:tc>
            </w:tr>
            <w:tr w14:paraId="0E5E0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69B7CC7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2249" w:type="pct"/>
                  <w:tcBorders>
                    <w:tl2br w:val="nil"/>
                    <w:tr2bl w:val="nil"/>
                  </w:tcBorders>
                  <w:vAlign w:val="center"/>
                </w:tcPr>
                <w:p w14:paraId="6D0D43E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活性炭环保箱</w:t>
                  </w:r>
                </w:p>
              </w:tc>
              <w:tc>
                <w:tcPr>
                  <w:tcW w:w="2038" w:type="pct"/>
                  <w:tcBorders>
                    <w:tl2br w:val="nil"/>
                    <w:tr2bl w:val="nil"/>
                  </w:tcBorders>
                  <w:vAlign w:val="center"/>
                </w:tcPr>
                <w:p w14:paraId="300C37C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E851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3516E47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2249" w:type="pct"/>
                  <w:tcBorders>
                    <w:tl2br w:val="nil"/>
                    <w:tr2bl w:val="nil"/>
                  </w:tcBorders>
                  <w:vAlign w:val="center"/>
                </w:tcPr>
                <w:p w14:paraId="03F8E98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气鼓砂</w:t>
                  </w:r>
                </w:p>
              </w:tc>
              <w:tc>
                <w:tcPr>
                  <w:tcW w:w="2038" w:type="pct"/>
                  <w:tcBorders>
                    <w:tl2br w:val="nil"/>
                    <w:tr2bl w:val="nil"/>
                  </w:tcBorders>
                  <w:vAlign w:val="center"/>
                </w:tcPr>
                <w:p w14:paraId="4F85EAD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6473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2" w:type="pct"/>
                  <w:tcBorders>
                    <w:tl2br w:val="nil"/>
                    <w:tr2bl w:val="nil"/>
                  </w:tcBorders>
                  <w:vAlign w:val="center"/>
                </w:tcPr>
                <w:p w14:paraId="2853057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249" w:type="pct"/>
                  <w:tcBorders>
                    <w:tl2br w:val="nil"/>
                    <w:tr2bl w:val="nil"/>
                  </w:tcBorders>
                  <w:vAlign w:val="center"/>
                </w:tcPr>
                <w:p w14:paraId="60B2063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平台砂</w:t>
                  </w:r>
                </w:p>
              </w:tc>
              <w:tc>
                <w:tcPr>
                  <w:tcW w:w="2038" w:type="pct"/>
                  <w:tcBorders>
                    <w:tl2br w:val="nil"/>
                    <w:tr2bl w:val="nil"/>
                  </w:tcBorders>
                  <w:vAlign w:val="center"/>
                </w:tcPr>
                <w:p w14:paraId="567B05C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r>
          </w:tbl>
          <w:p w14:paraId="152C3F2F">
            <w:pPr>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4.主要原辅材料</w:t>
            </w:r>
          </w:p>
          <w:p w14:paraId="3D853295">
            <w:pPr>
              <w:pStyle w:val="6"/>
              <w:rPr>
                <w:rFonts w:hint="default" w:ascii="Times New Roman" w:hAnsi="Times New Roman" w:cs="Times New Roman"/>
                <w:lang w:val="en-US" w:eastAsia="zh-CN"/>
              </w:rPr>
            </w:pPr>
            <w:r>
              <w:rPr>
                <w:rFonts w:hint="default" w:ascii="Times New Roman" w:hAnsi="Times New Roman" w:cs="Times New Roman"/>
                <w:lang w:val="en-US" w:eastAsia="zh-CN"/>
              </w:rPr>
              <w:t>项目主要原辅材料见表2-</w:t>
            </w:r>
            <w:r>
              <w:rPr>
                <w:rFonts w:hint="eastAsia" w:cs="Times New Roman"/>
                <w:lang w:val="en-US" w:eastAsia="zh-CN"/>
              </w:rPr>
              <w:t>4、原辅材料规格及理化性质见表2-5。</w:t>
            </w:r>
          </w:p>
          <w:p w14:paraId="12850146">
            <w:pPr>
              <w:pStyle w:val="6"/>
              <w:widowControl w:val="0"/>
              <w:wordWrap/>
              <w:adjustRightInd/>
              <w:snapToGrid/>
              <w:spacing w:line="360" w:lineRule="auto"/>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表2-</w:t>
            </w:r>
            <w:r>
              <w:rPr>
                <w:rFonts w:hint="eastAsia" w:cs="Times New Roman"/>
                <w:b/>
                <w:bCs/>
                <w:lang w:val="en-US" w:eastAsia="zh-CN"/>
              </w:rPr>
              <w:t xml:space="preserve">4  </w:t>
            </w:r>
            <w:r>
              <w:rPr>
                <w:rFonts w:hint="default" w:ascii="Times New Roman" w:hAnsi="Times New Roman" w:cs="Times New Roman"/>
                <w:b/>
                <w:bCs/>
                <w:lang w:val="en-US" w:eastAsia="zh-CN"/>
              </w:rPr>
              <w:t>项目主要原辅材料一览表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3233"/>
              <w:gridCol w:w="3233"/>
            </w:tblGrid>
            <w:tr w14:paraId="5908B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88" w:type="pct"/>
                  <w:tcBorders>
                    <w:tl2br w:val="nil"/>
                    <w:tr2bl w:val="nil"/>
                  </w:tcBorders>
                  <w:vAlign w:val="center"/>
                </w:tcPr>
                <w:p w14:paraId="63CA8364">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1955" w:type="pct"/>
                  <w:tcBorders>
                    <w:tl2br w:val="nil"/>
                    <w:tr2bl w:val="nil"/>
                  </w:tcBorders>
                  <w:vAlign w:val="center"/>
                </w:tcPr>
                <w:p w14:paraId="0660B3AE">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名称</w:t>
                  </w:r>
                </w:p>
              </w:tc>
              <w:tc>
                <w:tcPr>
                  <w:tcW w:w="1955" w:type="pct"/>
                  <w:tcBorders>
                    <w:tl2br w:val="nil"/>
                    <w:tr2bl w:val="nil"/>
                  </w:tcBorders>
                  <w:vAlign w:val="center"/>
                </w:tcPr>
                <w:p w14:paraId="757A135E">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消耗量</w:t>
                  </w:r>
                </w:p>
              </w:tc>
            </w:tr>
            <w:tr w14:paraId="669FD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8" w:type="pct"/>
                  <w:tcBorders>
                    <w:tl2br w:val="nil"/>
                    <w:tr2bl w:val="nil"/>
                  </w:tcBorders>
                  <w:vAlign w:val="center"/>
                </w:tcPr>
                <w:p w14:paraId="3CB1D5F5">
                  <w:pPr>
                    <w:pStyle w:val="24"/>
                    <w:keepNext w:val="0"/>
                    <w:keepLines w:val="0"/>
                    <w:pageBreakBefore w:val="0"/>
                    <w:widowControl w:val="0"/>
                    <w:kinsoku/>
                    <w:wordWrap/>
                    <w:overflowPunct/>
                    <w:topLinePunct w:val="0"/>
                    <w:bidi w:val="0"/>
                    <w:snapToGrid/>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1955" w:type="pct"/>
                  <w:tcBorders>
                    <w:tl2br w:val="nil"/>
                    <w:tr2bl w:val="nil"/>
                  </w:tcBorders>
                  <w:vAlign w:val="center"/>
                </w:tcPr>
                <w:p w14:paraId="0E01964F">
                  <w:pPr>
                    <w:pStyle w:val="27"/>
                    <w:keepNext w:val="0"/>
                    <w:keepLines w:val="0"/>
                    <w:pageBreakBefore w:val="0"/>
                    <w:widowControl w:val="0"/>
                    <w:kinsoku/>
                    <w:wordWrap/>
                    <w:overflowPunct/>
                    <w:topLinePunct w:val="0"/>
                    <w:bidi w:val="0"/>
                    <w:snapToGrid/>
                    <w:spacing w:after="0" w:line="240" w:lineRule="auto"/>
                    <w:ind w:left="0" w:leftChars="0" w:firstLine="0" w:firstLineChars="0"/>
                    <w:jc w:val="center"/>
                    <w:rPr>
                      <w:rFonts w:hint="default" w:ascii="Times New Roman" w:hAnsi="Times New Roman" w:cs="Times New Roman"/>
                      <w:color w:val="auto"/>
                      <w:sz w:val="18"/>
                      <w:szCs w:val="18"/>
                      <w:lang w:val="en-US" w:eastAsia="zh-CN"/>
                    </w:rPr>
                  </w:pPr>
                  <w:r>
                    <w:rPr>
                      <w:rFonts w:hint="eastAsia" w:eastAsia="宋体"/>
                      <w:sz w:val="18"/>
                      <w:szCs w:val="18"/>
                      <w:lang w:val="en-US" w:eastAsia="zh-CN"/>
                    </w:rPr>
                    <w:t>巴花木</w:t>
                  </w:r>
                </w:p>
              </w:tc>
              <w:tc>
                <w:tcPr>
                  <w:tcW w:w="1955" w:type="pct"/>
                  <w:tcBorders>
                    <w:tl2br w:val="nil"/>
                    <w:tr2bl w:val="nil"/>
                  </w:tcBorders>
                  <w:vAlign w:val="center"/>
                </w:tcPr>
                <w:p w14:paraId="5C77791F">
                  <w:pPr>
                    <w:pStyle w:val="27"/>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baseline"/>
                    <w:rPr>
                      <w:rFonts w:hint="default" w:ascii="Times New Roman" w:hAnsi="Times New Roman" w:cs="Times New Roman"/>
                      <w:sz w:val="18"/>
                      <w:szCs w:val="18"/>
                      <w:lang w:val="en-US" w:eastAsia="zh-CN"/>
                    </w:rPr>
                  </w:pPr>
                  <w:r>
                    <w:rPr>
                      <w:rFonts w:hint="eastAsia" w:eastAsia="宋体"/>
                      <w:sz w:val="18"/>
                      <w:szCs w:val="18"/>
                      <w:lang w:val="en-US" w:eastAsia="zh-CN"/>
                    </w:rPr>
                    <w:t>160</w:t>
                  </w:r>
                  <w:r>
                    <w:rPr>
                      <w:rFonts w:eastAsia="宋体"/>
                      <w:sz w:val="18"/>
                      <w:szCs w:val="18"/>
                      <w:lang w:val="en-US" w:eastAsia="zh-CN"/>
                    </w:rPr>
                    <w:t xml:space="preserve"> m</w:t>
                  </w:r>
                  <w:r>
                    <w:rPr>
                      <w:rFonts w:eastAsia="宋体"/>
                      <w:sz w:val="18"/>
                      <w:szCs w:val="18"/>
                      <w:vertAlign w:val="superscript"/>
                      <w:lang w:val="en-US" w:eastAsia="zh-CN"/>
                    </w:rPr>
                    <w:t>3</w:t>
                  </w:r>
                  <w:r>
                    <w:rPr>
                      <w:rFonts w:hint="eastAsia" w:eastAsia="宋体"/>
                      <w:sz w:val="18"/>
                      <w:szCs w:val="18"/>
                      <w:lang w:val="en-US" w:eastAsia="zh-CN"/>
                    </w:rPr>
                    <w:t>/a</w:t>
                  </w:r>
                </w:p>
              </w:tc>
            </w:tr>
            <w:tr w14:paraId="1B916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8" w:type="pct"/>
                  <w:tcBorders>
                    <w:tl2br w:val="nil"/>
                    <w:tr2bl w:val="nil"/>
                  </w:tcBorders>
                  <w:vAlign w:val="center"/>
                </w:tcPr>
                <w:p w14:paraId="097AB321">
                  <w:pPr>
                    <w:pStyle w:val="24"/>
                    <w:keepNext w:val="0"/>
                    <w:keepLines w:val="0"/>
                    <w:pageBreakBefore w:val="0"/>
                    <w:widowControl w:val="0"/>
                    <w:kinsoku/>
                    <w:wordWrap/>
                    <w:overflowPunct/>
                    <w:topLinePunct w:val="0"/>
                    <w:bidi w:val="0"/>
                    <w:snapToGrid/>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1955" w:type="pct"/>
                  <w:tcBorders>
                    <w:tl2br w:val="nil"/>
                    <w:tr2bl w:val="nil"/>
                  </w:tcBorders>
                  <w:vAlign w:val="center"/>
                </w:tcPr>
                <w:p w14:paraId="787C1EEA">
                  <w:pPr>
                    <w:pStyle w:val="27"/>
                    <w:keepNext w:val="0"/>
                    <w:keepLines w:val="0"/>
                    <w:pageBreakBefore w:val="0"/>
                    <w:widowControl w:val="0"/>
                    <w:kinsoku/>
                    <w:wordWrap/>
                    <w:overflowPunct/>
                    <w:topLinePunct w:val="0"/>
                    <w:bidi w:val="0"/>
                    <w:snapToGrid/>
                    <w:spacing w:after="0" w:line="240" w:lineRule="auto"/>
                    <w:ind w:left="0" w:leftChars="0" w:firstLine="0" w:firstLineChars="0"/>
                    <w:jc w:val="center"/>
                    <w:rPr>
                      <w:rFonts w:hint="eastAsia" w:ascii="Times New Roman" w:hAnsi="Times New Roman" w:eastAsia="宋体" w:cs="Times New Roman"/>
                      <w:color w:val="auto"/>
                      <w:sz w:val="18"/>
                      <w:szCs w:val="18"/>
                      <w:lang w:eastAsia="zh-CN"/>
                    </w:rPr>
                  </w:pPr>
                  <w:r>
                    <w:rPr>
                      <w:rFonts w:hint="eastAsia" w:eastAsia="宋体"/>
                      <w:sz w:val="18"/>
                      <w:szCs w:val="18"/>
                      <w:lang w:val="en-US" w:eastAsia="zh-CN"/>
                    </w:rPr>
                    <w:t>奥坎木</w:t>
                  </w:r>
                </w:p>
              </w:tc>
              <w:tc>
                <w:tcPr>
                  <w:tcW w:w="1955" w:type="pct"/>
                  <w:tcBorders>
                    <w:tl2br w:val="nil"/>
                    <w:tr2bl w:val="nil"/>
                  </w:tcBorders>
                  <w:vAlign w:val="center"/>
                </w:tcPr>
                <w:p w14:paraId="76CA8BEA">
                  <w:pPr>
                    <w:pStyle w:val="27"/>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baseline"/>
                    <w:rPr>
                      <w:rFonts w:hint="default" w:ascii="Times New Roman" w:hAnsi="Times New Roman" w:cs="Times New Roman"/>
                      <w:sz w:val="18"/>
                      <w:szCs w:val="18"/>
                      <w:lang w:val="en-US" w:eastAsia="zh-CN"/>
                    </w:rPr>
                  </w:pPr>
                  <w:r>
                    <w:rPr>
                      <w:rFonts w:hint="eastAsia" w:eastAsia="宋体"/>
                      <w:sz w:val="18"/>
                      <w:szCs w:val="18"/>
                      <w:lang w:val="en-US" w:eastAsia="zh-CN"/>
                    </w:rPr>
                    <w:t>380</w:t>
                  </w:r>
                  <w:r>
                    <w:rPr>
                      <w:rFonts w:eastAsia="宋体"/>
                      <w:sz w:val="18"/>
                      <w:szCs w:val="18"/>
                      <w:lang w:val="en-US" w:eastAsia="zh-CN"/>
                    </w:rPr>
                    <w:t xml:space="preserve"> m</w:t>
                  </w:r>
                  <w:r>
                    <w:rPr>
                      <w:rFonts w:eastAsia="宋体"/>
                      <w:sz w:val="18"/>
                      <w:szCs w:val="18"/>
                      <w:vertAlign w:val="superscript"/>
                      <w:lang w:val="en-US" w:eastAsia="zh-CN"/>
                    </w:rPr>
                    <w:t>3</w:t>
                  </w:r>
                  <w:r>
                    <w:rPr>
                      <w:rFonts w:hint="eastAsia" w:eastAsia="宋体"/>
                      <w:sz w:val="18"/>
                      <w:szCs w:val="18"/>
                      <w:lang w:val="en-US" w:eastAsia="zh-CN"/>
                    </w:rPr>
                    <w:t>/a</w:t>
                  </w:r>
                </w:p>
              </w:tc>
            </w:tr>
            <w:tr w14:paraId="77DF0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8" w:type="pct"/>
                  <w:tcBorders>
                    <w:tl2br w:val="nil"/>
                    <w:tr2bl w:val="nil"/>
                  </w:tcBorders>
                  <w:vAlign w:val="center"/>
                </w:tcPr>
                <w:p w14:paraId="397DDF13">
                  <w:pPr>
                    <w:pStyle w:val="24"/>
                    <w:keepNext w:val="0"/>
                    <w:keepLines w:val="0"/>
                    <w:pageBreakBefore w:val="0"/>
                    <w:widowControl w:val="0"/>
                    <w:kinsoku/>
                    <w:wordWrap/>
                    <w:overflowPunct/>
                    <w:topLinePunct w:val="0"/>
                    <w:bidi w:val="0"/>
                    <w:snapToGrid/>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1955" w:type="pct"/>
                  <w:tcBorders>
                    <w:tl2br w:val="nil"/>
                    <w:tr2bl w:val="nil"/>
                  </w:tcBorders>
                  <w:vAlign w:val="center"/>
                </w:tcPr>
                <w:p w14:paraId="58B74358">
                  <w:pPr>
                    <w:pStyle w:val="27"/>
                    <w:keepNext w:val="0"/>
                    <w:keepLines w:val="0"/>
                    <w:pageBreakBefore w:val="0"/>
                    <w:widowControl w:val="0"/>
                    <w:kinsoku/>
                    <w:wordWrap/>
                    <w:overflowPunct/>
                    <w:topLinePunct w:val="0"/>
                    <w:bidi w:val="0"/>
                    <w:snapToGrid/>
                    <w:spacing w:after="0"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eastAsia="宋体"/>
                      <w:sz w:val="18"/>
                      <w:szCs w:val="18"/>
                      <w:lang w:val="en-US" w:eastAsia="zh-CN"/>
                    </w:rPr>
                    <w:t>底漆</w:t>
                  </w:r>
                </w:p>
              </w:tc>
              <w:tc>
                <w:tcPr>
                  <w:tcW w:w="1955" w:type="pct"/>
                  <w:tcBorders>
                    <w:tl2br w:val="nil"/>
                    <w:tr2bl w:val="nil"/>
                  </w:tcBorders>
                  <w:vAlign w:val="center"/>
                </w:tcPr>
                <w:p w14:paraId="6FF03262">
                  <w:pPr>
                    <w:pStyle w:val="27"/>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baseline"/>
                    <w:rPr>
                      <w:rFonts w:hint="default" w:ascii="Times New Roman" w:hAnsi="Times New Roman" w:eastAsia="宋体" w:cs="Times New Roman"/>
                      <w:sz w:val="18"/>
                      <w:szCs w:val="18"/>
                      <w:lang w:val="en-US" w:eastAsia="zh-CN"/>
                    </w:rPr>
                  </w:pPr>
                  <w:r>
                    <w:rPr>
                      <w:rFonts w:hint="eastAsia" w:eastAsia="宋体"/>
                      <w:sz w:val="18"/>
                      <w:szCs w:val="18"/>
                      <w:lang w:val="en-US" w:eastAsia="zh-CN"/>
                    </w:rPr>
                    <w:t>4.1</w:t>
                  </w:r>
                  <w:r>
                    <w:rPr>
                      <w:rFonts w:eastAsia="宋体"/>
                      <w:sz w:val="18"/>
                      <w:szCs w:val="18"/>
                      <w:lang w:val="en-US" w:eastAsia="zh-CN"/>
                    </w:rPr>
                    <w:t xml:space="preserve"> t/a</w:t>
                  </w:r>
                </w:p>
              </w:tc>
            </w:tr>
            <w:tr w14:paraId="319B3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8" w:type="pct"/>
                  <w:tcBorders>
                    <w:tl2br w:val="nil"/>
                    <w:tr2bl w:val="nil"/>
                  </w:tcBorders>
                  <w:vAlign w:val="center"/>
                </w:tcPr>
                <w:p w14:paraId="6A94A385">
                  <w:pPr>
                    <w:pStyle w:val="24"/>
                    <w:keepNext w:val="0"/>
                    <w:keepLines w:val="0"/>
                    <w:pageBreakBefore w:val="0"/>
                    <w:widowControl w:val="0"/>
                    <w:kinsoku/>
                    <w:wordWrap/>
                    <w:overflowPunct/>
                    <w:topLinePunct w:val="0"/>
                    <w:bidi w:val="0"/>
                    <w:snapToGrid/>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c>
                <w:tcPr>
                  <w:tcW w:w="1955" w:type="pct"/>
                  <w:tcBorders>
                    <w:tl2br w:val="nil"/>
                    <w:tr2bl w:val="nil"/>
                  </w:tcBorders>
                  <w:vAlign w:val="center"/>
                </w:tcPr>
                <w:p w14:paraId="086B3584">
                  <w:pPr>
                    <w:pStyle w:val="27"/>
                    <w:keepNext w:val="0"/>
                    <w:keepLines w:val="0"/>
                    <w:pageBreakBefore w:val="0"/>
                    <w:widowControl w:val="0"/>
                    <w:kinsoku/>
                    <w:wordWrap/>
                    <w:overflowPunct/>
                    <w:topLinePunct w:val="0"/>
                    <w:bidi w:val="0"/>
                    <w:snapToGrid/>
                    <w:spacing w:after="0" w:line="240" w:lineRule="auto"/>
                    <w:ind w:left="0" w:leftChars="0" w:firstLine="0" w:firstLineChars="0"/>
                    <w:jc w:val="center"/>
                    <w:rPr>
                      <w:rFonts w:hint="eastAsia" w:ascii="Times New Roman" w:hAnsi="Times New Roman" w:eastAsia="宋体" w:cs="Times New Roman"/>
                      <w:color w:val="auto"/>
                      <w:sz w:val="18"/>
                      <w:szCs w:val="18"/>
                      <w:lang w:eastAsia="zh-CN"/>
                    </w:rPr>
                  </w:pPr>
                  <w:r>
                    <w:rPr>
                      <w:rFonts w:hint="eastAsia" w:eastAsia="宋体"/>
                      <w:sz w:val="18"/>
                      <w:szCs w:val="18"/>
                      <w:lang w:val="en-US" w:eastAsia="zh-CN"/>
                    </w:rPr>
                    <w:t>面漆</w:t>
                  </w:r>
                </w:p>
              </w:tc>
              <w:tc>
                <w:tcPr>
                  <w:tcW w:w="1955" w:type="pct"/>
                  <w:tcBorders>
                    <w:tl2br w:val="nil"/>
                    <w:tr2bl w:val="nil"/>
                  </w:tcBorders>
                  <w:vAlign w:val="center"/>
                </w:tcPr>
                <w:p w14:paraId="20196DEC">
                  <w:pPr>
                    <w:pStyle w:val="27"/>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baseline"/>
                    <w:rPr>
                      <w:rFonts w:hint="default" w:ascii="Times New Roman" w:hAnsi="Times New Roman" w:eastAsia="宋体" w:cs="Times New Roman"/>
                      <w:sz w:val="18"/>
                      <w:szCs w:val="18"/>
                      <w:lang w:val="en-US" w:eastAsia="zh-CN"/>
                    </w:rPr>
                  </w:pPr>
                  <w:r>
                    <w:rPr>
                      <w:rFonts w:hint="eastAsia" w:eastAsia="宋体"/>
                      <w:sz w:val="18"/>
                      <w:szCs w:val="18"/>
                      <w:lang w:val="en-US" w:eastAsia="zh-CN"/>
                    </w:rPr>
                    <w:t>1.28</w:t>
                  </w:r>
                  <w:r>
                    <w:rPr>
                      <w:rFonts w:eastAsia="宋体"/>
                      <w:sz w:val="18"/>
                      <w:szCs w:val="18"/>
                      <w:lang w:val="en-US" w:eastAsia="zh-CN"/>
                    </w:rPr>
                    <w:t xml:space="preserve"> t/a</w:t>
                  </w:r>
                </w:p>
              </w:tc>
            </w:tr>
            <w:tr w14:paraId="27821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8" w:type="pct"/>
                  <w:tcBorders>
                    <w:tl2br w:val="nil"/>
                    <w:tr2bl w:val="nil"/>
                  </w:tcBorders>
                  <w:vAlign w:val="center"/>
                </w:tcPr>
                <w:p w14:paraId="3A750475">
                  <w:pPr>
                    <w:pStyle w:val="24"/>
                    <w:keepNext w:val="0"/>
                    <w:keepLines w:val="0"/>
                    <w:pageBreakBefore w:val="0"/>
                    <w:widowControl w:val="0"/>
                    <w:kinsoku/>
                    <w:wordWrap/>
                    <w:overflowPunct/>
                    <w:topLinePunct w:val="0"/>
                    <w:bidi w:val="0"/>
                    <w:snapToGrid/>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5</w:t>
                  </w:r>
                </w:p>
              </w:tc>
              <w:tc>
                <w:tcPr>
                  <w:tcW w:w="1955" w:type="pct"/>
                  <w:tcBorders>
                    <w:tl2br w:val="nil"/>
                    <w:tr2bl w:val="nil"/>
                  </w:tcBorders>
                  <w:vAlign w:val="center"/>
                </w:tcPr>
                <w:p w14:paraId="7F0A9558">
                  <w:pPr>
                    <w:pStyle w:val="27"/>
                    <w:keepNext w:val="0"/>
                    <w:keepLines w:val="0"/>
                    <w:pageBreakBefore w:val="0"/>
                    <w:widowControl w:val="0"/>
                    <w:kinsoku/>
                    <w:wordWrap/>
                    <w:overflowPunct/>
                    <w:topLinePunct w:val="0"/>
                    <w:bidi w:val="0"/>
                    <w:snapToGrid/>
                    <w:spacing w:after="0" w:line="240" w:lineRule="auto"/>
                    <w:ind w:left="0" w:leftChars="0" w:firstLine="0" w:firstLineChars="0"/>
                    <w:jc w:val="center"/>
                    <w:rPr>
                      <w:rFonts w:hint="eastAsia" w:ascii="Times New Roman" w:hAnsi="Times New Roman" w:eastAsia="宋体" w:cs="Times New Roman"/>
                      <w:sz w:val="18"/>
                      <w:szCs w:val="18"/>
                      <w:lang w:eastAsia="zh-CN"/>
                    </w:rPr>
                  </w:pPr>
                  <w:r>
                    <w:rPr>
                      <w:rFonts w:hint="eastAsia" w:eastAsia="宋体"/>
                      <w:sz w:val="18"/>
                      <w:szCs w:val="18"/>
                      <w:lang w:val="en-US" w:eastAsia="zh-CN"/>
                    </w:rPr>
                    <w:t>稀释剂</w:t>
                  </w:r>
                </w:p>
              </w:tc>
              <w:tc>
                <w:tcPr>
                  <w:tcW w:w="1955" w:type="pct"/>
                  <w:tcBorders>
                    <w:tl2br w:val="nil"/>
                    <w:tr2bl w:val="nil"/>
                  </w:tcBorders>
                  <w:vAlign w:val="center"/>
                </w:tcPr>
                <w:p w14:paraId="766146E5">
                  <w:pPr>
                    <w:pStyle w:val="27"/>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baseline"/>
                    <w:rPr>
                      <w:rFonts w:hint="default" w:ascii="Times New Roman" w:hAnsi="Times New Roman" w:cs="Times New Roman"/>
                      <w:sz w:val="18"/>
                      <w:szCs w:val="18"/>
                      <w:lang w:val="en-US" w:eastAsia="zh-CN"/>
                    </w:rPr>
                  </w:pPr>
                  <w:r>
                    <w:rPr>
                      <w:rFonts w:hint="eastAsia" w:eastAsia="宋体"/>
                      <w:sz w:val="18"/>
                      <w:szCs w:val="18"/>
                      <w:lang w:val="en-US" w:eastAsia="zh-CN"/>
                    </w:rPr>
                    <w:t>4.3</w:t>
                  </w:r>
                  <w:r>
                    <w:rPr>
                      <w:rFonts w:eastAsia="宋体"/>
                      <w:sz w:val="18"/>
                      <w:szCs w:val="18"/>
                      <w:lang w:val="en-US" w:eastAsia="zh-CN"/>
                    </w:rPr>
                    <w:t xml:space="preserve"> t/a</w:t>
                  </w:r>
                </w:p>
              </w:tc>
            </w:tr>
            <w:tr w14:paraId="71778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88" w:type="pct"/>
                  <w:tcBorders>
                    <w:tl2br w:val="nil"/>
                    <w:tr2bl w:val="nil"/>
                  </w:tcBorders>
                  <w:vAlign w:val="center"/>
                </w:tcPr>
                <w:p w14:paraId="222E471B">
                  <w:pPr>
                    <w:pStyle w:val="24"/>
                    <w:keepNext w:val="0"/>
                    <w:keepLines w:val="0"/>
                    <w:pageBreakBefore w:val="0"/>
                    <w:widowControl w:val="0"/>
                    <w:kinsoku/>
                    <w:wordWrap/>
                    <w:overflowPunct/>
                    <w:topLinePunct w:val="0"/>
                    <w:bidi w:val="0"/>
                    <w:snapToGrid/>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6</w:t>
                  </w:r>
                </w:p>
              </w:tc>
              <w:tc>
                <w:tcPr>
                  <w:tcW w:w="1955" w:type="pct"/>
                  <w:tcBorders>
                    <w:tl2br w:val="nil"/>
                    <w:tr2bl w:val="nil"/>
                  </w:tcBorders>
                  <w:vAlign w:val="center"/>
                </w:tcPr>
                <w:p w14:paraId="7EA02921">
                  <w:pPr>
                    <w:pStyle w:val="27"/>
                    <w:keepNext w:val="0"/>
                    <w:keepLines w:val="0"/>
                    <w:pageBreakBefore w:val="0"/>
                    <w:widowControl w:val="0"/>
                    <w:kinsoku/>
                    <w:wordWrap/>
                    <w:overflowPunct/>
                    <w:topLinePunct w:val="0"/>
                    <w:bidi w:val="0"/>
                    <w:snapToGrid/>
                    <w:spacing w:after="0" w:line="240" w:lineRule="auto"/>
                    <w:ind w:left="0" w:leftChars="0" w:firstLine="0" w:firstLineChars="0"/>
                    <w:jc w:val="center"/>
                    <w:rPr>
                      <w:rFonts w:hint="default" w:ascii="Times New Roman" w:hAnsi="Times New Roman" w:cs="Times New Roman"/>
                      <w:color w:val="auto"/>
                      <w:sz w:val="18"/>
                      <w:szCs w:val="18"/>
                      <w:lang w:val="en-US" w:eastAsia="zh-CN"/>
                    </w:rPr>
                  </w:pPr>
                  <w:r>
                    <w:rPr>
                      <w:rFonts w:hint="eastAsia" w:eastAsia="宋体"/>
                      <w:sz w:val="18"/>
                      <w:szCs w:val="18"/>
                      <w:lang w:val="en-US" w:eastAsia="zh-CN"/>
                    </w:rPr>
                    <w:t>固化剂</w:t>
                  </w:r>
                </w:p>
              </w:tc>
              <w:tc>
                <w:tcPr>
                  <w:tcW w:w="1955" w:type="pct"/>
                  <w:tcBorders>
                    <w:tl2br w:val="nil"/>
                    <w:tr2bl w:val="nil"/>
                  </w:tcBorders>
                  <w:vAlign w:val="center"/>
                </w:tcPr>
                <w:p w14:paraId="6216316F">
                  <w:pPr>
                    <w:pStyle w:val="27"/>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baseline"/>
                    <w:rPr>
                      <w:rFonts w:hint="default" w:ascii="Times New Roman" w:hAnsi="Times New Roman" w:cs="Times New Roman"/>
                      <w:color w:val="auto"/>
                      <w:sz w:val="18"/>
                      <w:szCs w:val="18"/>
                      <w:lang w:val="en-US" w:eastAsia="zh-CN"/>
                    </w:rPr>
                  </w:pPr>
                  <w:r>
                    <w:rPr>
                      <w:rFonts w:hint="eastAsia" w:eastAsia="宋体"/>
                      <w:sz w:val="18"/>
                      <w:szCs w:val="18"/>
                      <w:lang w:val="en-US" w:eastAsia="zh-CN"/>
                    </w:rPr>
                    <w:t>2.0</w:t>
                  </w:r>
                  <w:r>
                    <w:rPr>
                      <w:rFonts w:eastAsia="宋体"/>
                      <w:sz w:val="18"/>
                      <w:szCs w:val="18"/>
                      <w:lang w:val="en-US" w:eastAsia="zh-CN"/>
                    </w:rPr>
                    <w:t xml:space="preserve"> t/a</w:t>
                  </w:r>
                </w:p>
              </w:tc>
            </w:tr>
          </w:tbl>
          <w:p w14:paraId="1E7CB421">
            <w:pPr>
              <w:pStyle w:val="6"/>
              <w:widowControl w:val="0"/>
              <w:wordWrap/>
              <w:adjustRightInd/>
              <w:snapToGrid/>
              <w:spacing w:line="360" w:lineRule="auto"/>
              <w:ind w:firstLine="0" w:firstLineChars="0"/>
              <w:jc w:val="center"/>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表2-5  项目原辅材料规格及理化性质</w:t>
            </w:r>
          </w:p>
          <w:tbl>
            <w:tblPr>
              <w:tblStyle w:val="17"/>
              <w:tblW w:w="4998" w:type="pct"/>
              <w:tblInd w:w="0" w:type="dxa"/>
              <w:tblLayout w:type="autofit"/>
              <w:tblCellMar>
                <w:top w:w="0" w:type="dxa"/>
                <w:left w:w="0" w:type="dxa"/>
                <w:bottom w:w="0" w:type="dxa"/>
                <w:right w:w="0" w:type="dxa"/>
              </w:tblCellMar>
            </w:tblPr>
            <w:tblGrid>
              <w:gridCol w:w="755"/>
              <w:gridCol w:w="938"/>
              <w:gridCol w:w="3347"/>
              <w:gridCol w:w="3225"/>
            </w:tblGrid>
            <w:tr w14:paraId="5B3844DF">
              <w:tblPrEx>
                <w:tblCellMar>
                  <w:top w:w="0" w:type="dxa"/>
                  <w:left w:w="0" w:type="dxa"/>
                  <w:bottom w:w="0" w:type="dxa"/>
                  <w:right w:w="0" w:type="dxa"/>
                </w:tblCellMar>
              </w:tblPrEx>
              <w:trPr>
                <w:trHeight w:val="697" w:hRule="exact"/>
              </w:trPr>
              <w:tc>
                <w:tcPr>
                  <w:tcW w:w="457" w:type="pct"/>
                  <w:tcBorders>
                    <w:top w:val="single" w:color="000000" w:sz="12" w:space="0"/>
                    <w:left w:val="nil"/>
                    <w:bottom w:val="single" w:color="000000" w:sz="4" w:space="0"/>
                    <w:right w:val="single" w:color="000000" w:sz="4" w:space="0"/>
                  </w:tcBorders>
                  <w:tcMar>
                    <w:top w:w="0" w:type="dxa"/>
                    <w:left w:w="113" w:type="dxa"/>
                    <w:bottom w:w="0" w:type="dxa"/>
                    <w:right w:w="113" w:type="dxa"/>
                  </w:tcMar>
                  <w:vAlign w:val="center"/>
                </w:tcPr>
                <w:p w14:paraId="29312821">
                  <w:pPr>
                    <w:ind w:left="0" w:leftChars="0" w:firstLine="0" w:firstLineChars="0"/>
                    <w:jc w:val="center"/>
                    <w:rPr>
                      <w:rFonts w:hint="default"/>
                      <w:b/>
                      <w:bCs/>
                      <w:sz w:val="18"/>
                      <w:szCs w:val="18"/>
                      <w:lang w:val="en-US" w:eastAsia="zh-CN"/>
                    </w:rPr>
                  </w:pPr>
                  <w:r>
                    <w:rPr>
                      <w:rFonts w:hint="default"/>
                      <w:b/>
                      <w:bCs/>
                      <w:sz w:val="18"/>
                      <w:szCs w:val="18"/>
                      <w:lang w:val="en-US" w:eastAsia="zh-CN"/>
                    </w:rPr>
                    <w:t>序号</w:t>
                  </w:r>
                </w:p>
              </w:tc>
              <w:tc>
                <w:tcPr>
                  <w:tcW w:w="567" w:type="pct"/>
                  <w:tcBorders>
                    <w:top w:val="single" w:color="000000" w:sz="12" w:space="0"/>
                    <w:left w:val="single" w:color="000000" w:sz="4" w:space="0"/>
                    <w:bottom w:val="single" w:color="000000" w:sz="4" w:space="0"/>
                    <w:right w:val="single" w:color="000000" w:sz="4" w:space="0"/>
                  </w:tcBorders>
                  <w:tcMar>
                    <w:top w:w="0" w:type="dxa"/>
                    <w:left w:w="113" w:type="dxa"/>
                    <w:bottom w:w="0" w:type="dxa"/>
                    <w:right w:w="113" w:type="dxa"/>
                  </w:tcMar>
                  <w:vAlign w:val="center"/>
                </w:tcPr>
                <w:p w14:paraId="1C62F361">
                  <w:pPr>
                    <w:ind w:left="0" w:leftChars="0" w:firstLine="0" w:firstLineChars="0"/>
                    <w:jc w:val="center"/>
                    <w:rPr>
                      <w:rFonts w:hint="default"/>
                      <w:b/>
                      <w:bCs/>
                      <w:sz w:val="18"/>
                      <w:szCs w:val="18"/>
                    </w:rPr>
                  </w:pPr>
                  <w:r>
                    <w:rPr>
                      <w:rFonts w:hint="default"/>
                      <w:b/>
                      <w:bCs/>
                      <w:sz w:val="18"/>
                      <w:szCs w:val="18"/>
                    </w:rPr>
                    <w:t>名称</w:t>
                  </w:r>
                </w:p>
              </w:tc>
              <w:tc>
                <w:tcPr>
                  <w:tcW w:w="2024" w:type="pct"/>
                  <w:tcBorders>
                    <w:top w:val="single" w:color="000000" w:sz="12" w:space="0"/>
                    <w:left w:val="single" w:color="000000" w:sz="4" w:space="0"/>
                    <w:bottom w:val="single" w:color="000000" w:sz="4" w:space="0"/>
                    <w:right w:val="single" w:color="000000" w:sz="4" w:space="0"/>
                  </w:tcBorders>
                  <w:tcMar>
                    <w:top w:w="0" w:type="dxa"/>
                    <w:left w:w="113" w:type="dxa"/>
                    <w:bottom w:w="0" w:type="dxa"/>
                    <w:right w:w="113" w:type="dxa"/>
                  </w:tcMar>
                  <w:vAlign w:val="center"/>
                </w:tcPr>
                <w:p w14:paraId="00051D7B">
                  <w:pPr>
                    <w:ind w:left="0" w:leftChars="0" w:firstLine="0" w:firstLineChars="0"/>
                    <w:jc w:val="center"/>
                    <w:rPr>
                      <w:rFonts w:hint="default"/>
                      <w:b/>
                      <w:bCs/>
                      <w:sz w:val="18"/>
                      <w:szCs w:val="18"/>
                    </w:rPr>
                  </w:pPr>
                  <w:r>
                    <w:rPr>
                      <w:rFonts w:hint="default"/>
                      <w:b/>
                      <w:bCs/>
                      <w:sz w:val="18"/>
                      <w:szCs w:val="18"/>
                    </w:rPr>
                    <w:t>主要规格</w:t>
                  </w:r>
                </w:p>
              </w:tc>
              <w:tc>
                <w:tcPr>
                  <w:tcW w:w="1950" w:type="pct"/>
                  <w:tcBorders>
                    <w:top w:val="single" w:color="000000" w:sz="12" w:space="0"/>
                    <w:left w:val="single" w:color="000000" w:sz="4" w:space="0"/>
                    <w:bottom w:val="single" w:color="000000" w:sz="4" w:space="0"/>
                    <w:right w:val="nil"/>
                  </w:tcBorders>
                  <w:tcMar>
                    <w:top w:w="0" w:type="dxa"/>
                    <w:left w:w="113" w:type="dxa"/>
                    <w:bottom w:w="0" w:type="dxa"/>
                    <w:right w:w="113" w:type="dxa"/>
                  </w:tcMar>
                  <w:vAlign w:val="center"/>
                </w:tcPr>
                <w:p w14:paraId="248F99F3">
                  <w:pPr>
                    <w:ind w:left="0" w:leftChars="0" w:firstLine="0" w:firstLineChars="0"/>
                    <w:jc w:val="center"/>
                    <w:rPr>
                      <w:rFonts w:hint="default"/>
                      <w:b/>
                      <w:bCs/>
                      <w:sz w:val="18"/>
                      <w:szCs w:val="18"/>
                    </w:rPr>
                  </w:pPr>
                  <w:r>
                    <w:rPr>
                      <w:rFonts w:hint="default"/>
                      <w:b/>
                      <w:bCs/>
                      <w:sz w:val="18"/>
                      <w:szCs w:val="18"/>
                    </w:rPr>
                    <w:t>理化性质</w:t>
                  </w:r>
                </w:p>
              </w:tc>
            </w:tr>
            <w:tr w14:paraId="4E1411DD">
              <w:tblPrEx>
                <w:tblCellMar>
                  <w:top w:w="0" w:type="dxa"/>
                  <w:left w:w="0" w:type="dxa"/>
                  <w:bottom w:w="0" w:type="dxa"/>
                  <w:right w:w="0" w:type="dxa"/>
                </w:tblCellMar>
              </w:tblPrEx>
              <w:trPr>
                <w:trHeight w:val="973" w:hRule="exact"/>
              </w:trPr>
              <w:tc>
                <w:tcPr>
                  <w:tcW w:w="457" w:type="pct"/>
                  <w:tcBorders>
                    <w:top w:val="single" w:color="000000" w:sz="4" w:space="0"/>
                    <w:left w:val="nil"/>
                    <w:bottom w:val="single" w:color="000000" w:sz="4" w:space="0"/>
                    <w:right w:val="single" w:color="000000" w:sz="4" w:space="0"/>
                  </w:tcBorders>
                  <w:tcMar>
                    <w:top w:w="0" w:type="dxa"/>
                    <w:left w:w="113" w:type="dxa"/>
                    <w:bottom w:w="0" w:type="dxa"/>
                    <w:right w:w="113" w:type="dxa"/>
                  </w:tcMar>
                  <w:vAlign w:val="center"/>
                </w:tcPr>
                <w:p w14:paraId="6848DB22">
                  <w:pPr>
                    <w:ind w:left="0" w:leftChars="0" w:firstLine="0" w:firstLineChars="0"/>
                    <w:jc w:val="center"/>
                    <w:rPr>
                      <w:rFonts w:hint="default"/>
                      <w:sz w:val="18"/>
                      <w:szCs w:val="18"/>
                    </w:rPr>
                  </w:pPr>
                  <w:r>
                    <w:rPr>
                      <w:rFonts w:hint="default"/>
                      <w:sz w:val="18"/>
                      <w:szCs w:val="18"/>
                    </w:rPr>
                    <w:t>1</w:t>
                  </w:r>
                </w:p>
              </w:tc>
              <w:tc>
                <w:tcPr>
                  <w:tcW w:w="5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13" w:type="dxa"/>
                  </w:tcMar>
                  <w:vAlign w:val="center"/>
                </w:tcPr>
                <w:p w14:paraId="5ADCB8E4">
                  <w:pPr>
                    <w:ind w:left="0" w:leftChars="0" w:firstLine="0" w:firstLineChars="0"/>
                    <w:jc w:val="center"/>
                    <w:rPr>
                      <w:rFonts w:hint="default"/>
                      <w:sz w:val="18"/>
                      <w:szCs w:val="18"/>
                    </w:rPr>
                  </w:pPr>
                  <w:r>
                    <w:rPr>
                      <w:rFonts w:hint="default"/>
                      <w:sz w:val="18"/>
                      <w:szCs w:val="18"/>
                    </w:rPr>
                    <w:t>底漆</w:t>
                  </w:r>
                </w:p>
              </w:tc>
              <w:tc>
                <w:tcPr>
                  <w:tcW w:w="2024" w:type="pct"/>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vAlign w:val="center"/>
                </w:tcPr>
                <w:p w14:paraId="679DDBAA">
                  <w:pPr>
                    <w:ind w:left="0" w:leftChars="0" w:firstLine="0" w:firstLineChars="0"/>
                    <w:jc w:val="both"/>
                    <w:rPr>
                      <w:rFonts w:hint="default"/>
                      <w:sz w:val="18"/>
                      <w:szCs w:val="18"/>
                    </w:rPr>
                  </w:pPr>
                  <w:r>
                    <w:rPr>
                      <w:rFonts w:hint="default"/>
                      <w:sz w:val="18"/>
                      <w:szCs w:val="18"/>
                    </w:rPr>
                    <w:t>醇酸树脂69%，醋酸丁酯等有机溶剂15%、有机硅助剂1%，滑石粉、硬脂酸锌等填料15%。</w:t>
                  </w:r>
                </w:p>
              </w:tc>
              <w:tc>
                <w:tcPr>
                  <w:tcW w:w="1950" w:type="pct"/>
                  <w:tcBorders>
                    <w:top w:val="single" w:color="000000" w:sz="4" w:space="0"/>
                    <w:left w:val="single" w:color="000000" w:sz="4" w:space="0"/>
                    <w:bottom w:val="single" w:color="000000" w:sz="4" w:space="0"/>
                    <w:right w:val="nil"/>
                  </w:tcBorders>
                  <w:tcMar>
                    <w:top w:w="85" w:type="dxa"/>
                    <w:left w:w="113" w:type="dxa"/>
                    <w:bottom w:w="85" w:type="dxa"/>
                    <w:right w:w="113" w:type="dxa"/>
                  </w:tcMar>
                  <w:vAlign w:val="center"/>
                </w:tcPr>
                <w:p w14:paraId="5727A456">
                  <w:pPr>
                    <w:ind w:left="0" w:leftChars="0" w:firstLine="0" w:firstLineChars="0"/>
                    <w:jc w:val="both"/>
                    <w:rPr>
                      <w:rFonts w:hint="default"/>
                      <w:sz w:val="18"/>
                      <w:szCs w:val="18"/>
                    </w:rPr>
                  </w:pPr>
                  <w:r>
                    <w:rPr>
                      <w:rFonts w:hint="default"/>
                      <w:sz w:val="18"/>
                      <w:szCs w:val="18"/>
                    </w:rPr>
                    <w:t>流平，快干，易磨，易燃、低毒</w:t>
                  </w:r>
                </w:p>
              </w:tc>
            </w:tr>
            <w:tr w14:paraId="20476909">
              <w:tblPrEx>
                <w:tblCellMar>
                  <w:top w:w="0" w:type="dxa"/>
                  <w:left w:w="0" w:type="dxa"/>
                  <w:bottom w:w="0" w:type="dxa"/>
                  <w:right w:w="0" w:type="dxa"/>
                </w:tblCellMar>
              </w:tblPrEx>
              <w:trPr>
                <w:trHeight w:val="839" w:hRule="exact"/>
              </w:trPr>
              <w:tc>
                <w:tcPr>
                  <w:tcW w:w="457" w:type="pct"/>
                  <w:tcBorders>
                    <w:top w:val="single" w:color="000000" w:sz="4" w:space="0"/>
                    <w:left w:val="nil"/>
                    <w:bottom w:val="single" w:color="000000" w:sz="4" w:space="0"/>
                    <w:right w:val="single" w:color="000000" w:sz="4" w:space="0"/>
                  </w:tcBorders>
                  <w:tcMar>
                    <w:top w:w="0" w:type="dxa"/>
                    <w:left w:w="113" w:type="dxa"/>
                    <w:bottom w:w="0" w:type="dxa"/>
                    <w:right w:w="113" w:type="dxa"/>
                  </w:tcMar>
                  <w:vAlign w:val="center"/>
                </w:tcPr>
                <w:p w14:paraId="3FAB80DC">
                  <w:pPr>
                    <w:ind w:left="0" w:leftChars="0" w:firstLine="0" w:firstLineChars="0"/>
                    <w:jc w:val="center"/>
                    <w:rPr>
                      <w:rFonts w:hint="default"/>
                      <w:sz w:val="18"/>
                      <w:szCs w:val="18"/>
                    </w:rPr>
                  </w:pPr>
                  <w:r>
                    <w:rPr>
                      <w:rFonts w:hint="default"/>
                      <w:sz w:val="18"/>
                      <w:szCs w:val="18"/>
                    </w:rPr>
                    <w:t>2</w:t>
                  </w:r>
                </w:p>
              </w:tc>
              <w:tc>
                <w:tcPr>
                  <w:tcW w:w="5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13" w:type="dxa"/>
                  </w:tcMar>
                  <w:vAlign w:val="center"/>
                </w:tcPr>
                <w:p w14:paraId="11BAE75E">
                  <w:pPr>
                    <w:ind w:left="0" w:leftChars="0" w:firstLine="0" w:firstLineChars="0"/>
                    <w:jc w:val="center"/>
                    <w:rPr>
                      <w:rFonts w:hint="default"/>
                      <w:sz w:val="18"/>
                      <w:szCs w:val="18"/>
                    </w:rPr>
                  </w:pPr>
                  <w:r>
                    <w:rPr>
                      <w:rFonts w:hint="default"/>
                      <w:sz w:val="18"/>
                      <w:szCs w:val="18"/>
                    </w:rPr>
                    <w:t>面漆</w:t>
                  </w:r>
                </w:p>
              </w:tc>
              <w:tc>
                <w:tcPr>
                  <w:tcW w:w="2024" w:type="pct"/>
                  <w:tcBorders>
                    <w:top w:val="single" w:color="000000" w:sz="4" w:space="0"/>
                    <w:left w:val="single" w:color="000000" w:sz="4" w:space="0"/>
                    <w:bottom w:val="single" w:color="000000" w:sz="4" w:space="0"/>
                    <w:right w:val="single" w:color="000000" w:sz="4" w:space="0"/>
                  </w:tcBorders>
                  <w:tcMar>
                    <w:top w:w="85" w:type="dxa"/>
                    <w:left w:w="113" w:type="dxa"/>
                    <w:bottom w:w="85" w:type="dxa"/>
                    <w:right w:w="113" w:type="dxa"/>
                  </w:tcMar>
                  <w:vAlign w:val="center"/>
                </w:tcPr>
                <w:p w14:paraId="156F1541">
                  <w:pPr>
                    <w:ind w:left="0" w:leftChars="0" w:firstLine="0" w:firstLineChars="0"/>
                    <w:jc w:val="both"/>
                    <w:rPr>
                      <w:rFonts w:hint="default"/>
                      <w:sz w:val="18"/>
                      <w:szCs w:val="18"/>
                    </w:rPr>
                  </w:pPr>
                  <w:r>
                    <w:rPr>
                      <w:rFonts w:hint="default"/>
                      <w:sz w:val="18"/>
                      <w:szCs w:val="18"/>
                    </w:rPr>
                    <w:t>醇酸树脂72%，醋酸丁酯等有机溶剂25%、有机硅助剂3%</w:t>
                  </w:r>
                </w:p>
              </w:tc>
              <w:tc>
                <w:tcPr>
                  <w:tcW w:w="1950" w:type="pct"/>
                  <w:tcBorders>
                    <w:top w:val="single" w:color="000000" w:sz="4" w:space="0"/>
                    <w:left w:val="single" w:color="000000" w:sz="4" w:space="0"/>
                    <w:bottom w:val="single" w:color="000000" w:sz="4" w:space="0"/>
                    <w:right w:val="nil"/>
                  </w:tcBorders>
                  <w:tcMar>
                    <w:top w:w="85" w:type="dxa"/>
                    <w:left w:w="113" w:type="dxa"/>
                    <w:bottom w:w="85" w:type="dxa"/>
                    <w:right w:w="113" w:type="dxa"/>
                  </w:tcMar>
                  <w:vAlign w:val="center"/>
                </w:tcPr>
                <w:p w14:paraId="6DA8AF08">
                  <w:pPr>
                    <w:ind w:left="0" w:leftChars="0" w:firstLine="0" w:firstLineChars="0"/>
                    <w:jc w:val="both"/>
                    <w:rPr>
                      <w:rFonts w:hint="default"/>
                      <w:sz w:val="18"/>
                      <w:szCs w:val="18"/>
                    </w:rPr>
                  </w:pPr>
                  <w:r>
                    <w:rPr>
                      <w:rFonts w:hint="default"/>
                      <w:sz w:val="18"/>
                      <w:szCs w:val="18"/>
                    </w:rPr>
                    <w:t>防腐，防潮，附着力强，易燃、低毒</w:t>
                  </w:r>
                </w:p>
              </w:tc>
            </w:tr>
            <w:tr w14:paraId="4575FB40">
              <w:tblPrEx>
                <w:tblCellMar>
                  <w:top w:w="0" w:type="dxa"/>
                  <w:left w:w="0" w:type="dxa"/>
                  <w:bottom w:w="0" w:type="dxa"/>
                  <w:right w:w="0" w:type="dxa"/>
                </w:tblCellMar>
              </w:tblPrEx>
              <w:trPr>
                <w:trHeight w:val="1958" w:hRule="exact"/>
              </w:trPr>
              <w:tc>
                <w:tcPr>
                  <w:tcW w:w="457" w:type="pct"/>
                  <w:tcBorders>
                    <w:top w:val="single" w:color="000000" w:sz="4" w:space="0"/>
                    <w:left w:val="nil"/>
                    <w:bottom w:val="single" w:color="000000" w:sz="4" w:space="0"/>
                    <w:right w:val="single" w:color="000000" w:sz="4" w:space="0"/>
                  </w:tcBorders>
                  <w:tcMar>
                    <w:top w:w="0" w:type="dxa"/>
                    <w:left w:w="113" w:type="dxa"/>
                    <w:bottom w:w="0" w:type="dxa"/>
                    <w:right w:w="113" w:type="dxa"/>
                  </w:tcMar>
                  <w:vAlign w:val="center"/>
                </w:tcPr>
                <w:p w14:paraId="72D78066">
                  <w:pPr>
                    <w:ind w:left="0" w:leftChars="0" w:firstLine="0" w:firstLineChars="0"/>
                    <w:jc w:val="center"/>
                    <w:rPr>
                      <w:rFonts w:hint="default"/>
                      <w:sz w:val="18"/>
                      <w:szCs w:val="18"/>
                    </w:rPr>
                  </w:pPr>
                  <w:r>
                    <w:rPr>
                      <w:rFonts w:hint="default"/>
                      <w:sz w:val="18"/>
                      <w:szCs w:val="18"/>
                    </w:rPr>
                    <w:t>3</w:t>
                  </w:r>
                </w:p>
              </w:tc>
              <w:tc>
                <w:tcPr>
                  <w:tcW w:w="5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13" w:type="dxa"/>
                  </w:tcMar>
                  <w:vAlign w:val="center"/>
                </w:tcPr>
                <w:p w14:paraId="21325C45">
                  <w:pPr>
                    <w:ind w:left="0" w:leftChars="0" w:firstLine="0" w:firstLineChars="0"/>
                    <w:jc w:val="center"/>
                    <w:rPr>
                      <w:rFonts w:hint="default"/>
                      <w:sz w:val="18"/>
                      <w:szCs w:val="18"/>
                    </w:rPr>
                  </w:pPr>
                  <w:r>
                    <w:rPr>
                      <w:rFonts w:hint="default"/>
                      <w:sz w:val="18"/>
                      <w:szCs w:val="18"/>
                    </w:rPr>
                    <w:t>固化剂</w:t>
                  </w:r>
                </w:p>
              </w:tc>
              <w:tc>
                <w:tcPr>
                  <w:tcW w:w="3974" w:type="pct"/>
                  <w:gridSpan w:val="2"/>
                  <w:tcBorders>
                    <w:top w:val="single" w:color="000000" w:sz="4" w:space="0"/>
                    <w:left w:val="single" w:color="000000" w:sz="4" w:space="0"/>
                    <w:bottom w:val="single" w:color="000000" w:sz="4" w:space="0"/>
                    <w:right w:val="nil"/>
                  </w:tcBorders>
                  <w:tcMar>
                    <w:top w:w="85" w:type="dxa"/>
                    <w:left w:w="113" w:type="dxa"/>
                    <w:bottom w:w="85" w:type="dxa"/>
                    <w:right w:w="113" w:type="dxa"/>
                  </w:tcMar>
                  <w:vAlign w:val="center"/>
                </w:tcPr>
                <w:p w14:paraId="56E1AFC3">
                  <w:pPr>
                    <w:ind w:left="0" w:leftChars="0" w:firstLine="0" w:firstLineChars="0"/>
                    <w:jc w:val="both"/>
                    <w:rPr>
                      <w:rFonts w:hint="default"/>
                      <w:sz w:val="18"/>
                      <w:szCs w:val="18"/>
                    </w:rPr>
                  </w:pPr>
                  <w:r>
                    <w:rPr>
                      <w:rFonts w:hint="default"/>
                      <w:sz w:val="18"/>
                      <w:szCs w:val="18"/>
                    </w:rPr>
                    <w:t>固化剂又名</w:t>
                  </w:r>
                  <w:r>
                    <w:rPr>
                      <w:rFonts w:hint="default"/>
                      <w:sz w:val="18"/>
                      <w:szCs w:val="18"/>
                    </w:rPr>
                    <w:fldChar w:fldCharType="begin"/>
                  </w:r>
                  <w:r>
                    <w:rPr>
                      <w:rFonts w:hint="default"/>
                      <w:sz w:val="18"/>
                      <w:szCs w:val="18"/>
                    </w:rPr>
                    <w:instrText xml:space="preserve"> HYPERLINK "http://baike.baidu.com/item/%E7%A1%AC%E5%8C%96%E5%89%82" \h </w:instrText>
                  </w:r>
                  <w:r>
                    <w:rPr>
                      <w:rFonts w:hint="default"/>
                      <w:sz w:val="18"/>
                      <w:szCs w:val="18"/>
                    </w:rPr>
                    <w:fldChar w:fldCharType="separate"/>
                  </w:r>
                  <w:r>
                    <w:rPr>
                      <w:rFonts w:hint="default"/>
                      <w:sz w:val="18"/>
                      <w:szCs w:val="18"/>
                    </w:rPr>
                    <w:t>硬化剂</w:t>
                  </w:r>
                  <w:r>
                    <w:rPr>
                      <w:rFonts w:hint="default"/>
                      <w:sz w:val="18"/>
                      <w:szCs w:val="18"/>
                    </w:rPr>
                    <w:fldChar w:fldCharType="end"/>
                  </w:r>
                  <w:r>
                    <w:rPr>
                      <w:rFonts w:hint="default"/>
                      <w:sz w:val="18"/>
                      <w:szCs w:val="18"/>
                    </w:rPr>
                    <w:t>、熟化剂或变定剂，是一类增进或控制固化反应的物质或混合物。树脂固化是经过缩合、闭环、加成或催化等化学反应，使热固性树脂发生不可逆的变化过程，固化是通过添加固化（交联）剂来完成的。项目所使用的固化剂为聚氨酯固化剂，就是含有-NCO基团的一些寡聚物，能够与聚醚二元醇反应，聚酯漆固化剂的固体含量几乎是100%。</w:t>
                  </w:r>
                </w:p>
              </w:tc>
            </w:tr>
            <w:tr w14:paraId="7F6803D6">
              <w:tblPrEx>
                <w:tblCellMar>
                  <w:top w:w="0" w:type="dxa"/>
                  <w:left w:w="0" w:type="dxa"/>
                  <w:bottom w:w="0" w:type="dxa"/>
                  <w:right w:w="0" w:type="dxa"/>
                </w:tblCellMar>
              </w:tblPrEx>
              <w:trPr>
                <w:trHeight w:val="1407" w:hRule="exact"/>
              </w:trPr>
              <w:tc>
                <w:tcPr>
                  <w:tcW w:w="457" w:type="pct"/>
                  <w:tcBorders>
                    <w:top w:val="single" w:color="000000" w:sz="4" w:space="0"/>
                    <w:left w:val="nil"/>
                    <w:bottom w:val="single" w:color="000000" w:sz="12" w:space="0"/>
                    <w:right w:val="single" w:color="000000" w:sz="4" w:space="0"/>
                  </w:tcBorders>
                  <w:tcMar>
                    <w:top w:w="0" w:type="dxa"/>
                    <w:left w:w="113" w:type="dxa"/>
                    <w:bottom w:w="0" w:type="dxa"/>
                    <w:right w:w="113" w:type="dxa"/>
                  </w:tcMar>
                  <w:vAlign w:val="center"/>
                </w:tcPr>
                <w:p w14:paraId="4AFCC1C9">
                  <w:pPr>
                    <w:ind w:left="0" w:leftChars="0" w:firstLine="0" w:firstLineChars="0"/>
                    <w:jc w:val="center"/>
                    <w:rPr>
                      <w:rFonts w:hint="default"/>
                      <w:sz w:val="18"/>
                      <w:szCs w:val="18"/>
                    </w:rPr>
                  </w:pPr>
                  <w:r>
                    <w:rPr>
                      <w:rFonts w:hint="default"/>
                      <w:sz w:val="18"/>
                      <w:szCs w:val="18"/>
                    </w:rPr>
                    <w:t>4</w:t>
                  </w:r>
                </w:p>
              </w:tc>
              <w:tc>
                <w:tcPr>
                  <w:tcW w:w="567" w:type="pct"/>
                  <w:tcBorders>
                    <w:top w:val="single" w:color="000000" w:sz="4" w:space="0"/>
                    <w:left w:val="single" w:color="000000" w:sz="4" w:space="0"/>
                    <w:bottom w:val="single" w:color="000000" w:sz="12" w:space="0"/>
                    <w:right w:val="single" w:color="000000" w:sz="4" w:space="0"/>
                  </w:tcBorders>
                  <w:tcMar>
                    <w:top w:w="0" w:type="dxa"/>
                    <w:left w:w="113" w:type="dxa"/>
                    <w:bottom w:w="0" w:type="dxa"/>
                    <w:right w:w="113" w:type="dxa"/>
                  </w:tcMar>
                  <w:vAlign w:val="center"/>
                </w:tcPr>
                <w:p w14:paraId="277B9498">
                  <w:pPr>
                    <w:ind w:left="0" w:leftChars="0" w:firstLine="0" w:firstLineChars="0"/>
                    <w:jc w:val="center"/>
                    <w:rPr>
                      <w:rFonts w:hint="default"/>
                      <w:sz w:val="18"/>
                      <w:szCs w:val="18"/>
                    </w:rPr>
                  </w:pPr>
                  <w:r>
                    <w:rPr>
                      <w:rFonts w:hint="default"/>
                      <w:sz w:val="18"/>
                      <w:szCs w:val="18"/>
                    </w:rPr>
                    <w:t>稀释剂</w:t>
                  </w:r>
                </w:p>
              </w:tc>
              <w:tc>
                <w:tcPr>
                  <w:tcW w:w="2024" w:type="pct"/>
                  <w:tcBorders>
                    <w:top w:val="single" w:color="000000" w:sz="4" w:space="0"/>
                    <w:left w:val="single" w:color="000000" w:sz="4" w:space="0"/>
                    <w:bottom w:val="single" w:color="000000" w:sz="12" w:space="0"/>
                    <w:right w:val="single" w:color="000000" w:sz="4" w:space="0"/>
                  </w:tcBorders>
                  <w:tcMar>
                    <w:top w:w="85" w:type="dxa"/>
                    <w:left w:w="113" w:type="dxa"/>
                    <w:bottom w:w="85" w:type="dxa"/>
                    <w:right w:w="113" w:type="dxa"/>
                  </w:tcMar>
                  <w:vAlign w:val="center"/>
                </w:tcPr>
                <w:p w14:paraId="4EBD4829">
                  <w:pPr>
                    <w:ind w:left="0" w:leftChars="0" w:firstLine="0" w:firstLineChars="0"/>
                    <w:jc w:val="both"/>
                    <w:rPr>
                      <w:rFonts w:hint="default"/>
                      <w:sz w:val="18"/>
                      <w:szCs w:val="18"/>
                    </w:rPr>
                  </w:pPr>
                  <w:r>
                    <w:rPr>
                      <w:rFonts w:hint="default"/>
                      <w:sz w:val="18"/>
                      <w:szCs w:val="18"/>
                    </w:rPr>
                    <w:t>主要成分为总挥发性有机物醋酸乙酯、醋酸丁酯类40%，甲苯10%，二甲苯10%，PMA</w:t>
                  </w:r>
                  <w:r>
                    <w:rPr>
                      <w:rFonts w:hint="eastAsia"/>
                      <w:sz w:val="18"/>
                      <w:szCs w:val="18"/>
                      <w:lang w:eastAsia="zh-CN"/>
                    </w:rPr>
                    <w:t>（丙二醇甲醚醋酸酯）</w:t>
                  </w:r>
                  <w:r>
                    <w:rPr>
                      <w:rFonts w:hint="default"/>
                      <w:sz w:val="18"/>
                      <w:szCs w:val="18"/>
                    </w:rPr>
                    <w:t>40%。</w:t>
                  </w:r>
                </w:p>
              </w:tc>
              <w:tc>
                <w:tcPr>
                  <w:tcW w:w="1950" w:type="pct"/>
                  <w:tcBorders>
                    <w:top w:val="single" w:color="000000" w:sz="4" w:space="0"/>
                    <w:left w:val="single" w:color="000000" w:sz="4" w:space="0"/>
                    <w:bottom w:val="single" w:color="000000" w:sz="12" w:space="0"/>
                    <w:right w:val="nil"/>
                  </w:tcBorders>
                  <w:tcMar>
                    <w:top w:w="85" w:type="dxa"/>
                    <w:left w:w="113" w:type="dxa"/>
                    <w:bottom w:w="85" w:type="dxa"/>
                    <w:right w:w="113" w:type="dxa"/>
                  </w:tcMar>
                  <w:vAlign w:val="center"/>
                </w:tcPr>
                <w:p w14:paraId="50240C4D">
                  <w:pPr>
                    <w:ind w:left="0" w:leftChars="0" w:firstLine="0" w:firstLineChars="0"/>
                    <w:jc w:val="both"/>
                    <w:rPr>
                      <w:rFonts w:hint="default"/>
                      <w:sz w:val="18"/>
                      <w:szCs w:val="18"/>
                    </w:rPr>
                  </w:pPr>
                  <w:r>
                    <w:rPr>
                      <w:rFonts w:hint="default"/>
                      <w:sz w:val="18"/>
                      <w:szCs w:val="18"/>
                    </w:rPr>
                    <w:t>清晰度高、硬度高、易施工，气味小，流平好，亮度高，干燥快，易燃</w:t>
                  </w:r>
                </w:p>
              </w:tc>
            </w:tr>
          </w:tbl>
          <w:p w14:paraId="73245B32">
            <w:pPr>
              <w:pStyle w:val="6"/>
              <w:numPr>
                <w:ilvl w:val="0"/>
                <w:numId w:val="0"/>
              </w:numPr>
              <w:spacing w:line="360" w:lineRule="auto"/>
              <w:ind w:firstLine="422" w:firstLineChars="200"/>
              <w:rPr>
                <w:rFonts w:hint="default" w:ascii="Times New Roman" w:hAnsi="Times New Roman" w:cs="Times New Roman"/>
                <w:b/>
                <w:bCs/>
                <w:color w:val="auto"/>
                <w:lang w:val="en-US" w:eastAsia="zh-CN"/>
              </w:rPr>
            </w:pPr>
            <w:r>
              <w:rPr>
                <w:rFonts w:hint="eastAsia" w:cs="Times New Roman"/>
                <w:b/>
                <w:bCs/>
                <w:color w:val="auto"/>
                <w:lang w:val="en-US" w:eastAsia="zh-CN"/>
              </w:rPr>
              <w:t>5.</w:t>
            </w:r>
            <w:r>
              <w:rPr>
                <w:rFonts w:hint="default" w:ascii="Times New Roman" w:hAnsi="Times New Roman" w:cs="Times New Roman"/>
                <w:b/>
                <w:bCs/>
                <w:color w:val="auto"/>
                <w:lang w:val="en-US" w:eastAsia="zh-CN"/>
              </w:rPr>
              <w:t>项目水平衡图</w:t>
            </w:r>
          </w:p>
          <w:p w14:paraId="3C094856">
            <w:pPr>
              <w:spacing w:line="360" w:lineRule="auto"/>
              <w:ind w:firstLine="480"/>
              <w:jc w:val="both"/>
              <w:rPr>
                <w:rFonts w:ascii="Times New Roman" w:hAnsi="Times New Roman" w:cs="Times New Roman"/>
                <w:lang w:eastAsia="zh-CN"/>
              </w:rPr>
            </w:pPr>
            <w:r>
              <w:rPr>
                <w:rFonts w:hint="eastAsia" w:ascii="Times New Roman" w:hAnsi="Times New Roman" w:cs="Times New Roman"/>
                <w:lang w:eastAsia="zh-CN"/>
              </w:rPr>
              <w:t>本公司</w:t>
            </w:r>
            <w:r>
              <w:rPr>
                <w:rFonts w:ascii="Times New Roman" w:hAnsi="Times New Roman" w:cs="Times New Roman"/>
                <w:lang w:eastAsia="zh-CN"/>
              </w:rPr>
              <w:t>运营过程中用水主要为生活用水和水帘喷漆房净化用水、除尘用水、喷淋塔用水</w:t>
            </w:r>
            <w:r>
              <w:rPr>
                <w:rFonts w:hint="eastAsia" w:ascii="Times New Roman" w:hAnsi="Times New Roman" w:cs="Times New Roman"/>
                <w:lang w:eastAsia="zh-CN"/>
              </w:rPr>
              <w:t>。</w:t>
            </w:r>
            <w:r>
              <w:rPr>
                <w:rFonts w:hint="eastAsia" w:cs="Times New Roman"/>
                <w:lang w:val="en-US" w:eastAsia="zh-CN"/>
              </w:rPr>
              <w:t>本项目</w:t>
            </w:r>
            <w:r>
              <w:rPr>
                <w:rFonts w:ascii="Times New Roman" w:hAnsi="Times New Roman" w:cs="Times New Roman"/>
                <w:lang w:eastAsia="zh-CN"/>
              </w:rPr>
              <w:t>用水量约为</w:t>
            </w:r>
            <w:r>
              <w:rPr>
                <w:rFonts w:hint="eastAsia" w:cs="Times New Roman"/>
                <w:lang w:val="en-US" w:eastAsia="zh-CN"/>
              </w:rPr>
              <w:t>11</w:t>
            </w:r>
            <w:r>
              <w:rPr>
                <w:rFonts w:ascii="Times New Roman" w:hAnsi="Times New Roman" w:cs="Times New Roman"/>
                <w:lang w:eastAsia="zh-CN"/>
              </w:rPr>
              <w:t>t/d，即</w:t>
            </w:r>
            <w:r>
              <w:rPr>
                <w:rFonts w:hint="eastAsia" w:cs="Times New Roman"/>
                <w:lang w:val="en-US" w:eastAsia="zh-CN"/>
              </w:rPr>
              <w:t>33</w:t>
            </w:r>
            <w:r>
              <w:rPr>
                <w:rFonts w:hint="eastAsia" w:ascii="Times New Roman" w:hAnsi="Times New Roman" w:cs="Times New Roman"/>
                <w:lang w:val="en-US" w:eastAsia="zh-CN"/>
              </w:rPr>
              <w:t>00</w:t>
            </w:r>
            <w:r>
              <w:rPr>
                <w:rFonts w:ascii="Times New Roman" w:hAnsi="Times New Roman" w:cs="Times New Roman"/>
                <w:lang w:eastAsia="zh-CN"/>
              </w:rPr>
              <w:t>t/a</w:t>
            </w:r>
            <w:r>
              <w:rPr>
                <w:rFonts w:hint="eastAsia" w:ascii="Times New Roman" w:hAnsi="Times New Roman" w:cs="Times New Roman"/>
                <w:lang w:eastAsia="zh-CN"/>
              </w:rPr>
              <w:t>。用水情况如下：</w:t>
            </w:r>
          </w:p>
          <w:p w14:paraId="3B4DDE64">
            <w:pPr>
              <w:numPr>
                <w:ilvl w:val="0"/>
                <w:numId w:val="3"/>
              </w:numPr>
              <w:spacing w:line="360" w:lineRule="auto"/>
              <w:ind w:firstLine="480"/>
              <w:jc w:val="both"/>
              <w:rPr>
                <w:rFonts w:ascii="Times New Roman" w:hAnsi="Times New Roman" w:cs="Times New Roman"/>
                <w:szCs w:val="24"/>
              </w:rPr>
            </w:pPr>
            <w:r>
              <w:rPr>
                <w:rFonts w:hint="eastAsia" w:ascii="Times New Roman" w:hAnsi="Times New Roman" w:cs="Times New Roman"/>
                <w:lang w:eastAsia="zh-CN"/>
              </w:rPr>
              <w:t>项目水帘喷漆房水池用水、</w:t>
            </w:r>
            <w:r>
              <w:rPr>
                <w:rFonts w:ascii="Times New Roman" w:hAnsi="Times New Roman" w:cs="Times New Roman"/>
                <w:szCs w:val="24"/>
              </w:rPr>
              <w:t>水帘打磨房</w:t>
            </w:r>
            <w:r>
              <w:rPr>
                <w:rFonts w:hint="eastAsia" w:ascii="Times New Roman" w:hAnsi="Times New Roman" w:cs="Times New Roman"/>
                <w:szCs w:val="24"/>
                <w:lang w:eastAsia="zh-CN"/>
              </w:rPr>
              <w:t>用水、</w:t>
            </w:r>
            <w:r>
              <w:rPr>
                <w:rFonts w:ascii="Times New Roman" w:hAnsi="Times New Roman" w:cs="Times New Roman"/>
                <w:szCs w:val="24"/>
                <w:lang w:eastAsia="zh-CN"/>
              </w:rPr>
              <w:t>喷淋塔</w:t>
            </w:r>
            <w:r>
              <w:rPr>
                <w:rFonts w:hint="eastAsia" w:ascii="Times New Roman" w:hAnsi="Times New Roman" w:cs="Times New Roman"/>
                <w:szCs w:val="24"/>
                <w:lang w:eastAsia="zh-CN"/>
              </w:rPr>
              <w:t>用水均是</w:t>
            </w:r>
            <w:r>
              <w:rPr>
                <w:rFonts w:hint="eastAsia" w:ascii="Times New Roman" w:hAnsi="Times New Roman" w:cs="Times New Roman"/>
                <w:lang w:eastAsia="zh-CN"/>
              </w:rPr>
              <w:t>循环使用，不外排，但由于蒸发消耗需补充一定水量，水帘喷漆房水池用水每天需补充</w:t>
            </w:r>
            <w:r>
              <w:rPr>
                <w:rFonts w:hint="eastAsia" w:ascii="Times New Roman" w:hAnsi="Times New Roman" w:cs="Times New Roman"/>
                <w:lang w:val="en-US" w:eastAsia="zh-CN"/>
              </w:rPr>
              <w:t>1.3</w:t>
            </w:r>
            <w:r>
              <w:rPr>
                <w:rFonts w:hint="eastAsia" w:ascii="Times New Roman" w:hAnsi="Times New Roman" w:cs="Times New Roman"/>
                <w:lang w:eastAsia="zh-CN"/>
              </w:rPr>
              <w:t>t（</w:t>
            </w:r>
            <w:r>
              <w:rPr>
                <w:rFonts w:hint="eastAsia" w:ascii="Times New Roman" w:hAnsi="Times New Roman" w:cs="Times New Roman"/>
                <w:lang w:val="en-US" w:eastAsia="zh-CN"/>
              </w:rPr>
              <w:t>390</w:t>
            </w:r>
            <w:r>
              <w:rPr>
                <w:rFonts w:hint="eastAsia" w:ascii="Times New Roman" w:hAnsi="Times New Roman" w:cs="Times New Roman"/>
                <w:lang w:eastAsia="zh-CN"/>
              </w:rPr>
              <w:t>t/a）；</w:t>
            </w:r>
            <w:r>
              <w:rPr>
                <w:rFonts w:ascii="Times New Roman" w:hAnsi="Times New Roman" w:cs="Times New Roman"/>
                <w:szCs w:val="24"/>
              </w:rPr>
              <w:t>水帘打磨房</w:t>
            </w:r>
            <w:r>
              <w:rPr>
                <w:rFonts w:hint="eastAsia" w:ascii="Times New Roman" w:hAnsi="Times New Roman" w:cs="Times New Roman"/>
                <w:szCs w:val="24"/>
                <w:lang w:eastAsia="zh-CN"/>
              </w:rPr>
              <w:t>用水</w:t>
            </w:r>
            <w:r>
              <w:rPr>
                <w:rFonts w:ascii="Times New Roman" w:hAnsi="Times New Roman" w:cs="Times New Roman"/>
                <w:szCs w:val="24"/>
              </w:rPr>
              <w:t>每天需补充</w:t>
            </w:r>
            <w:r>
              <w:rPr>
                <w:rFonts w:hint="eastAsia" w:ascii="Times New Roman" w:hAnsi="Times New Roman" w:cs="Times New Roman"/>
                <w:szCs w:val="24"/>
                <w:lang w:val="en-US" w:eastAsia="zh-CN"/>
              </w:rPr>
              <w:t>2.3</w:t>
            </w:r>
            <w:r>
              <w:rPr>
                <w:rFonts w:ascii="Times New Roman" w:hAnsi="Times New Roman" w:cs="Times New Roman"/>
                <w:szCs w:val="24"/>
              </w:rPr>
              <w:t>t</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960</w:t>
            </w:r>
            <w:r>
              <w:rPr>
                <w:rFonts w:hint="eastAsia" w:ascii="Times New Roman" w:hAnsi="Times New Roman" w:cs="Times New Roman"/>
                <w:szCs w:val="24"/>
                <w:lang w:eastAsia="zh-CN"/>
              </w:rPr>
              <w:t>t/a）；喷淋塔用水</w:t>
            </w:r>
            <w:r>
              <w:rPr>
                <w:rFonts w:ascii="Times New Roman" w:hAnsi="Times New Roman" w:cs="Times New Roman"/>
                <w:szCs w:val="24"/>
              </w:rPr>
              <w:t>每天需补充</w:t>
            </w:r>
            <w:r>
              <w:rPr>
                <w:rFonts w:hint="eastAsia" w:ascii="Times New Roman" w:hAnsi="Times New Roman" w:cs="Times New Roman"/>
                <w:szCs w:val="24"/>
                <w:lang w:eastAsia="zh-CN"/>
              </w:rPr>
              <w:t>0.5</w:t>
            </w:r>
            <w:r>
              <w:rPr>
                <w:rFonts w:ascii="Times New Roman" w:hAnsi="Times New Roman" w:cs="Times New Roman"/>
                <w:szCs w:val="24"/>
              </w:rPr>
              <w:t>t</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150</w:t>
            </w:r>
            <w:r>
              <w:rPr>
                <w:rFonts w:hint="eastAsia" w:ascii="Times New Roman" w:hAnsi="Times New Roman" w:cs="Times New Roman"/>
                <w:szCs w:val="24"/>
                <w:lang w:eastAsia="zh-CN"/>
              </w:rPr>
              <w:t>t/a）。</w:t>
            </w:r>
            <w:r>
              <w:rPr>
                <w:rFonts w:ascii="Times New Roman" w:hAnsi="Times New Roman" w:cs="Times New Roman"/>
                <w:szCs w:val="24"/>
                <w:lang w:eastAsia="zh-CN"/>
              </w:rPr>
              <w:t>该过程不会产生污染</w:t>
            </w:r>
            <w:r>
              <w:rPr>
                <w:rFonts w:ascii="Times New Roman" w:hAnsi="Times New Roman" w:cs="Times New Roman"/>
                <w:szCs w:val="24"/>
              </w:rPr>
              <w:t>。</w:t>
            </w:r>
          </w:p>
          <w:p w14:paraId="47D5ECB4">
            <w:pPr>
              <w:numPr>
                <w:ilvl w:val="0"/>
                <w:numId w:val="3"/>
              </w:numPr>
              <w:spacing w:line="360" w:lineRule="auto"/>
              <w:ind w:firstLine="480"/>
              <w:jc w:val="both"/>
              <w:rPr>
                <w:rFonts w:ascii="Times New Roman" w:hAnsi="Times New Roman" w:cs="Times New Roman"/>
                <w:lang w:eastAsia="zh-CN"/>
              </w:rPr>
            </w:pPr>
            <w:r>
              <w:rPr>
                <w:rFonts w:hint="eastAsia" w:ascii="Times New Roman" w:hAnsi="Times New Roman" w:cs="Times New Roman"/>
                <w:szCs w:val="24"/>
                <w:lang w:eastAsia="zh-CN"/>
              </w:rPr>
              <w:t>员工</w:t>
            </w:r>
            <w:r>
              <w:rPr>
                <w:rFonts w:ascii="Times New Roman" w:hAnsi="Times New Roman" w:cs="Times New Roman"/>
                <w:szCs w:val="24"/>
                <w:lang w:eastAsia="zh-CN"/>
              </w:rPr>
              <w:t>生活用水量约为</w:t>
            </w:r>
            <w:r>
              <w:rPr>
                <w:rFonts w:hint="eastAsia" w:cs="Times New Roman"/>
                <w:szCs w:val="24"/>
                <w:lang w:val="en-US" w:eastAsia="zh-CN"/>
              </w:rPr>
              <w:t>6</w:t>
            </w:r>
            <w:r>
              <w:rPr>
                <w:rFonts w:hint="eastAsia" w:ascii="Times New Roman" w:hAnsi="Times New Roman" w:cs="Times New Roman"/>
                <w:szCs w:val="24"/>
                <w:lang w:eastAsia="zh-CN"/>
              </w:rPr>
              <w:t>t/d（</w:t>
            </w:r>
            <w:r>
              <w:rPr>
                <w:rFonts w:hint="eastAsia" w:cs="Times New Roman"/>
                <w:szCs w:val="24"/>
                <w:lang w:val="en-US" w:eastAsia="zh-CN"/>
              </w:rPr>
              <w:t>18</w:t>
            </w:r>
            <w:r>
              <w:rPr>
                <w:rFonts w:hint="eastAsia" w:ascii="Times New Roman" w:hAnsi="Times New Roman" w:cs="Times New Roman"/>
                <w:szCs w:val="24"/>
                <w:lang w:val="en-US" w:eastAsia="zh-CN"/>
              </w:rPr>
              <w:t>00</w:t>
            </w:r>
            <w:r>
              <w:rPr>
                <w:rFonts w:ascii="Times New Roman" w:hAnsi="Times New Roman" w:cs="Times New Roman"/>
                <w:szCs w:val="24"/>
                <w:lang w:eastAsia="zh-CN"/>
              </w:rPr>
              <w:t>t/a</w:t>
            </w:r>
            <w:r>
              <w:rPr>
                <w:rFonts w:hint="eastAsia" w:ascii="Times New Roman" w:hAnsi="Times New Roman" w:cs="Times New Roman"/>
                <w:szCs w:val="24"/>
                <w:lang w:eastAsia="zh-CN"/>
              </w:rPr>
              <w:t>）</w:t>
            </w:r>
            <w:r>
              <w:rPr>
                <w:rFonts w:ascii="Times New Roman" w:hAnsi="Times New Roman" w:cs="Times New Roman"/>
                <w:szCs w:val="24"/>
                <w:lang w:eastAsia="zh-CN"/>
              </w:rPr>
              <w:t>，</w:t>
            </w:r>
            <w:r>
              <w:rPr>
                <w:rFonts w:ascii="Times New Roman" w:hAnsi="Times New Roman" w:cs="Times New Roman"/>
                <w:lang w:eastAsia="zh-CN"/>
              </w:rPr>
              <w:t>排放定额按用水定额的80%计，生活污水排放量则为</w:t>
            </w:r>
            <w:r>
              <w:rPr>
                <w:rFonts w:hint="eastAsia" w:cs="Times New Roman"/>
                <w:lang w:val="en-US" w:eastAsia="zh-CN"/>
              </w:rPr>
              <w:t>144</w:t>
            </w:r>
            <w:r>
              <w:rPr>
                <w:rFonts w:hint="eastAsia" w:ascii="Times New Roman" w:hAnsi="Times New Roman" w:cs="Times New Roman"/>
                <w:lang w:val="en-US" w:eastAsia="zh-CN"/>
              </w:rPr>
              <w:t>0</w:t>
            </w:r>
            <w:r>
              <w:rPr>
                <w:rFonts w:ascii="Times New Roman" w:hAnsi="Times New Roman" w:cs="Times New Roman"/>
                <w:lang w:eastAsia="zh-CN"/>
              </w:rPr>
              <w:t>t/a。具体实际运行的水量平衡图，见图</w:t>
            </w:r>
            <w:r>
              <w:rPr>
                <w:rFonts w:hint="eastAsia" w:ascii="Times New Roman" w:hAnsi="Times New Roman" w:cs="Times New Roman"/>
                <w:lang w:val="en-US" w:eastAsia="zh-CN"/>
              </w:rPr>
              <w:t>2</w:t>
            </w:r>
            <w:r>
              <w:rPr>
                <w:rFonts w:ascii="Times New Roman" w:hAnsi="Times New Roman" w:cs="Times New Roman"/>
                <w:lang w:eastAsia="zh-CN"/>
              </w:rPr>
              <w:t>-1。</w:t>
            </w:r>
          </w:p>
          <w:p w14:paraId="2C06F8DD">
            <w:pPr>
              <w:spacing w:line="360" w:lineRule="auto"/>
              <w:ind w:firstLine="0" w:firstLineChars="0"/>
              <w:jc w:val="center"/>
              <w:rPr>
                <w:rFonts w:ascii="Times New Roman" w:hAnsi="Times New Roman" w:cs="Times New Roman"/>
                <w:b/>
                <w:lang w:eastAsia="zh-CN"/>
              </w:rPr>
            </w:pPr>
            <w:r>
              <w:rPr>
                <w:rFonts w:ascii="Times New Roman" w:hAnsi="Times New Roman" w:cs="Times New Roman"/>
                <w:b/>
                <w:lang w:eastAsia="zh-CN"/>
              </w:rPr>
              <w:object>
                <v:shape id="_x0000_i1025" o:spt="75" type="#_x0000_t75" style="height:221.8pt;width:368.25pt;" o:ole="t" filled="f" o:preferrelative="t" stroked="f" coordsize="21600,21600">
                  <v:path/>
                  <v:fill on="f" focussize="0,0"/>
                  <v:stroke on="f"/>
                  <v:imagedata r:id="rId16" croptop="3618f" o:title=""/>
                  <o:lock v:ext="edit" aspectratio="f"/>
                  <w10:wrap type="none"/>
                  <w10:anchorlock/>
                </v:shape>
                <o:OLEObject Type="Embed" ProgID="Visio.Drawing.11" ShapeID="_x0000_i1025" DrawAspect="Content" ObjectID="_1468075725" r:id="rId15">
                  <o:LockedField>false</o:LockedField>
                </o:OLEObject>
              </w:object>
            </w:r>
          </w:p>
          <w:p w14:paraId="285CB57E">
            <w:pPr>
              <w:pStyle w:val="6"/>
              <w:numPr>
                <w:ilvl w:val="0"/>
                <w:numId w:val="0"/>
              </w:numPr>
              <w:ind w:leftChars="2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图2-1</w:t>
            </w:r>
            <w:r>
              <w:rPr>
                <w:rFonts w:hint="eastAsia" w:cs="Times New Roman"/>
                <w:b/>
                <w:bCs/>
                <w:lang w:val="en-US" w:eastAsia="zh-CN"/>
              </w:rPr>
              <w:t xml:space="preserve">  </w:t>
            </w:r>
            <w:r>
              <w:rPr>
                <w:rFonts w:hint="default" w:ascii="Times New Roman" w:hAnsi="Times New Roman" w:cs="Times New Roman"/>
                <w:b/>
                <w:bCs/>
                <w:lang w:val="en-US" w:eastAsia="zh-CN"/>
              </w:rPr>
              <w:t>项目水循环图（单位：t/</w:t>
            </w:r>
            <w:r>
              <w:rPr>
                <w:rFonts w:hint="eastAsia" w:ascii="Times New Roman" w:hAnsi="Times New Roman" w:cs="Times New Roman"/>
                <w:b/>
                <w:bCs/>
                <w:lang w:val="en-US" w:eastAsia="zh-CN"/>
              </w:rPr>
              <w:t>d</w:t>
            </w:r>
            <w:r>
              <w:rPr>
                <w:rFonts w:hint="default" w:ascii="Times New Roman" w:hAnsi="Times New Roman" w:cs="Times New Roman"/>
                <w:b/>
                <w:bCs/>
                <w:lang w:val="en-US" w:eastAsia="zh-CN"/>
              </w:rPr>
              <w:t>）</w:t>
            </w:r>
          </w:p>
          <w:p w14:paraId="7B68F766">
            <w:pPr>
              <w:pStyle w:val="6"/>
              <w:numPr>
                <w:ilvl w:val="0"/>
                <w:numId w:val="0"/>
              </w:numPr>
              <w:ind w:firstLine="422" w:firstLineChars="200"/>
              <w:rPr>
                <w:rFonts w:hint="default" w:ascii="Times New Roman" w:hAnsi="Times New Roman" w:cs="Times New Roman"/>
                <w:b/>
                <w:bCs/>
                <w:lang w:val="en-US" w:eastAsia="zh-CN"/>
              </w:rPr>
            </w:pPr>
            <w:r>
              <w:rPr>
                <w:rFonts w:hint="eastAsia" w:cs="Times New Roman"/>
                <w:b/>
                <w:bCs/>
                <w:lang w:val="en-US" w:eastAsia="zh-CN"/>
              </w:rPr>
              <w:t>6.</w:t>
            </w:r>
            <w:r>
              <w:rPr>
                <w:rFonts w:hint="default" w:ascii="Times New Roman" w:hAnsi="Times New Roman" w:cs="Times New Roman"/>
                <w:b/>
                <w:bCs/>
                <w:lang w:val="en-US" w:eastAsia="zh-CN"/>
              </w:rPr>
              <w:t>厂区总平面布置</w:t>
            </w:r>
          </w:p>
          <w:p w14:paraId="16A321A3">
            <w:pPr>
              <w:pStyle w:val="6"/>
              <w:spacing w:line="360" w:lineRule="auto"/>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lang w:val="en-US" w:eastAsia="zh-CN"/>
              </w:rPr>
              <w:t>项目位于</w:t>
            </w:r>
            <w:r>
              <w:rPr>
                <w:rFonts w:hint="default" w:ascii="Times New Roman" w:hAnsi="Times New Roman" w:eastAsia="Helvetica" w:cs="Times New Roman"/>
                <w:i w:val="0"/>
                <w:caps w:val="0"/>
                <w:color w:val="auto"/>
                <w:spacing w:val="0"/>
                <w:sz w:val="21"/>
                <w:szCs w:val="21"/>
                <w:highlight w:val="none"/>
                <w:shd w:val="clear" w:color="auto" w:fill="auto"/>
              </w:rPr>
              <w:t>福建省</w:t>
            </w:r>
            <w:r>
              <w:rPr>
                <w:rFonts w:hint="eastAsia" w:eastAsia="宋体" w:cs="Times New Roman"/>
                <w:i w:val="0"/>
                <w:caps w:val="0"/>
                <w:color w:val="auto"/>
                <w:spacing w:val="0"/>
                <w:sz w:val="21"/>
                <w:szCs w:val="21"/>
                <w:highlight w:val="none"/>
                <w:shd w:val="clear" w:color="auto" w:fill="auto"/>
                <w:lang w:eastAsia="zh-CN"/>
              </w:rPr>
              <w:t>莆田市秀屿区东峤镇前沁村前沁113</w:t>
            </w:r>
            <w:r>
              <w:rPr>
                <w:rFonts w:hint="eastAsia" w:cs="Times New Roman"/>
                <w:i w:val="0"/>
                <w:caps w:val="0"/>
                <w:color w:val="auto"/>
                <w:spacing w:val="0"/>
                <w:sz w:val="21"/>
                <w:szCs w:val="21"/>
                <w:highlight w:val="none"/>
                <w:shd w:val="clear" w:color="auto" w:fill="auto"/>
                <w:lang w:val="en-US" w:eastAsia="zh-CN"/>
              </w:rPr>
              <w:t>3</w:t>
            </w:r>
            <w:r>
              <w:rPr>
                <w:rFonts w:hint="eastAsia" w:eastAsia="宋体" w:cs="Times New Roman"/>
                <w:i w:val="0"/>
                <w:caps w:val="0"/>
                <w:color w:val="auto"/>
                <w:spacing w:val="0"/>
                <w:sz w:val="21"/>
                <w:szCs w:val="21"/>
                <w:highlight w:val="none"/>
                <w:shd w:val="clear" w:color="auto" w:fill="auto"/>
                <w:lang w:eastAsia="zh-CN"/>
              </w:rPr>
              <w:t>号</w:t>
            </w:r>
            <w:r>
              <w:rPr>
                <w:rFonts w:hint="default" w:ascii="Times New Roman" w:hAnsi="Times New Roman" w:cs="Times New Roman"/>
                <w:i w:val="0"/>
                <w:caps w:val="0"/>
                <w:color w:val="auto"/>
                <w:spacing w:val="0"/>
                <w:sz w:val="21"/>
                <w:szCs w:val="21"/>
                <w:highlight w:val="none"/>
                <w:shd w:val="clear" w:color="auto" w:fill="auto"/>
                <w:lang w:eastAsia="zh-CN"/>
              </w:rPr>
              <w:t>，</w:t>
            </w:r>
            <w:r>
              <w:rPr>
                <w:rFonts w:hint="eastAsia" w:cs="Times New Roman"/>
                <w:i w:val="0"/>
                <w:caps w:val="0"/>
                <w:color w:val="auto"/>
                <w:spacing w:val="0"/>
                <w:sz w:val="21"/>
                <w:szCs w:val="21"/>
                <w:highlight w:val="none"/>
                <w:shd w:val="clear" w:color="auto" w:fill="auto"/>
                <w:lang w:val="en-US" w:eastAsia="zh-CN"/>
              </w:rPr>
              <w:t>租赁莆田市长峰木业有限公司厂房作为生产办公住宿用地，此外，还借用了厂区内</w:t>
            </w:r>
            <w:r>
              <w:rPr>
                <w:rFonts w:hint="eastAsia" w:ascii="Times New Roman" w:hAnsi="Times New Roman" w:cs="Times New Roman"/>
                <w:b w:val="0"/>
                <w:bCs/>
                <w:color w:val="auto"/>
                <w:sz w:val="21"/>
                <w:szCs w:val="21"/>
                <w:lang w:val="en-US" w:eastAsia="zh-CN"/>
              </w:rPr>
              <w:t>莆田市秀屿区自然元素家具有限公司现有厂房</w:t>
            </w:r>
            <w:r>
              <w:rPr>
                <w:rFonts w:hint="default" w:ascii="Times New Roman" w:hAnsi="Times New Roman" w:cs="Times New Roman"/>
                <w:bCs/>
                <w:color w:val="auto"/>
                <w:szCs w:val="21"/>
                <w:highlight w:val="none"/>
              </w:rPr>
              <w:t>。</w:t>
            </w:r>
          </w:p>
          <w:p w14:paraId="6D949135">
            <w:pPr>
              <w:pStyle w:val="6"/>
              <w:spacing w:line="360" w:lineRule="auto"/>
              <w:rPr>
                <w:rFonts w:hint="eastAsia" w:ascii="Times New Roman" w:hAnsi="Times New Roman" w:eastAsia="宋体" w:cs="Times New Roman"/>
                <w:lang w:val="en-US" w:eastAsia="zh-CN"/>
              </w:rPr>
            </w:pPr>
            <w:r>
              <w:rPr>
                <w:rFonts w:hint="eastAsia" w:cs="Times New Roman"/>
                <w:lang w:val="en-US" w:eastAsia="zh-CN"/>
              </w:rPr>
              <w:t>本项目厂房包括1号楼的三层、2号楼（共3层）、3号楼的三层和自建铁皮房（共1层），另外租赁了5号楼部分区域作为宿舍楼，</w:t>
            </w:r>
            <w:r>
              <w:rPr>
                <w:rFonts w:hint="eastAsia" w:ascii="Times New Roman" w:hAnsi="Times New Roman" w:eastAsia="宋体" w:cs="Times New Roman"/>
                <w:lang w:val="en-US" w:eastAsia="zh-CN"/>
              </w:rPr>
              <w:t>其中木材原料区和木工加工工序设置在</w:t>
            </w:r>
            <w:r>
              <w:rPr>
                <w:rFonts w:hint="eastAsia" w:cs="Times New Roman"/>
                <w:lang w:val="en-US" w:eastAsia="zh-CN"/>
              </w:rPr>
              <w:t>自建铁皮</w:t>
            </w:r>
            <w:r>
              <w:rPr>
                <w:rFonts w:hint="eastAsia" w:ascii="Times New Roman" w:hAnsi="Times New Roman" w:eastAsia="宋体" w:cs="Times New Roman"/>
                <w:lang w:val="en-US" w:eastAsia="zh-CN"/>
              </w:rPr>
              <w:t>房，</w:t>
            </w:r>
            <w:r>
              <w:rPr>
                <w:rFonts w:hint="eastAsia" w:cs="Times New Roman"/>
                <w:lang w:val="en-US" w:eastAsia="zh-CN"/>
              </w:rPr>
              <w:t>木工加工工序设置在3号楼的三层车间</w:t>
            </w:r>
            <w:r>
              <w:rPr>
                <w:rFonts w:hint="eastAsia" w:ascii="Times New Roman" w:hAnsi="Times New Roman" w:eastAsia="宋体" w:cs="Times New Roman"/>
                <w:lang w:val="en-US" w:eastAsia="zh-CN"/>
              </w:rPr>
              <w:t>。</w:t>
            </w:r>
            <w:r>
              <w:rPr>
                <w:rFonts w:hint="eastAsia" w:cs="Times New Roman"/>
                <w:lang w:val="en-US" w:eastAsia="zh-CN"/>
              </w:rPr>
              <w:t>而上漆、晾干、打磨和修色位于2号楼的三层车间</w:t>
            </w:r>
            <w:r>
              <w:rPr>
                <w:rFonts w:hint="eastAsia" w:ascii="Times New Roman" w:hAnsi="Times New Roman" w:eastAsia="宋体" w:cs="Times New Roman"/>
                <w:lang w:val="en-US" w:eastAsia="zh-CN"/>
              </w:rPr>
              <w:t>。项目分区明确，互不干扰。</w:t>
            </w:r>
          </w:p>
          <w:p w14:paraId="0CDF6B1D">
            <w:pPr>
              <w:pStyle w:val="6"/>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本项目生活污水经出租方化粪池处理进入市政污水管网，生产设备经厂区合理布局、减振等措施，不会对区域声学环境质量造成明显影响；危废间设置在</w:t>
            </w:r>
            <w:r>
              <w:rPr>
                <w:rFonts w:hint="eastAsia" w:cs="Times New Roman"/>
                <w:lang w:val="en-US" w:eastAsia="zh-CN"/>
              </w:rPr>
              <w:t>1号楼三层的西层</w:t>
            </w:r>
            <w:r>
              <w:rPr>
                <w:rFonts w:hint="eastAsia" w:ascii="Times New Roman" w:hAnsi="Times New Roman" w:eastAsia="宋体" w:cs="Times New Roman"/>
                <w:lang w:val="en-US" w:eastAsia="zh-CN"/>
              </w:rPr>
              <w:t>，避开厂内主要道路和人员活动区域；</w:t>
            </w:r>
            <w:r>
              <w:rPr>
                <w:rFonts w:hint="eastAsia" w:cs="Times New Roman"/>
                <w:lang w:val="en-US" w:eastAsia="zh-CN"/>
              </w:rPr>
              <w:t>配套的</w:t>
            </w:r>
            <w:r>
              <w:rPr>
                <w:rFonts w:hint="eastAsia" w:ascii="Times New Roman" w:hAnsi="Times New Roman" w:eastAsia="宋体" w:cs="Times New Roman"/>
                <w:lang w:val="en-US" w:eastAsia="zh-CN"/>
              </w:rPr>
              <w:t>废气治理措施设置在</w:t>
            </w:r>
            <w:r>
              <w:rPr>
                <w:rFonts w:hint="eastAsia" w:cs="Times New Roman"/>
                <w:lang w:val="en-US" w:eastAsia="zh-CN"/>
              </w:rPr>
              <w:t>2号楼的楼顶</w:t>
            </w:r>
            <w:r>
              <w:rPr>
                <w:rFonts w:hint="eastAsia" w:ascii="Times New Roman" w:hAnsi="Times New Roman" w:eastAsia="宋体" w:cs="Times New Roman"/>
                <w:lang w:val="en-US" w:eastAsia="zh-CN"/>
              </w:rPr>
              <w:t>，便于废气收集处理。</w:t>
            </w:r>
          </w:p>
          <w:p w14:paraId="1126AFCC">
            <w:pPr>
              <w:pStyle w:val="6"/>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综上，项目各功能分区明确、间距合理、工艺流程顺畅，在生产厂房布局时满足工艺流程，也满足功能分区要求及运输作业要求，项目总平面布置基本合理可行。</w:t>
            </w:r>
          </w:p>
        </w:tc>
      </w:tr>
      <w:tr w14:paraId="673C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4" w:hRule="atLeast"/>
        </w:trPr>
        <w:tc>
          <w:tcPr>
            <w:tcW w:w="426" w:type="dxa"/>
            <w:vAlign w:val="center"/>
          </w:tcPr>
          <w:p w14:paraId="6A1CE337">
            <w:pPr>
              <w:pStyle w:val="16"/>
              <w:numPr>
                <w:ilvl w:val="0"/>
                <w:numId w:val="0"/>
              </w:numPr>
              <w:jc w:val="center"/>
              <w:rPr>
                <w:rFonts w:hint="default" w:ascii="Times New Roman" w:hAnsi="Times New Roman" w:cs="Times New Roman"/>
                <w:lang w:val="en-US" w:eastAsia="zh-CN"/>
              </w:rPr>
            </w:pPr>
            <w:r>
              <w:rPr>
                <w:rFonts w:hint="default" w:ascii="Times New Roman" w:hAnsi="Times New Roman" w:cs="Times New Roman"/>
                <w:lang w:val="en-US" w:eastAsia="zh-CN"/>
              </w:rPr>
              <w:t>工艺流程和产排污环节</w:t>
            </w:r>
          </w:p>
        </w:tc>
        <w:tc>
          <w:tcPr>
            <w:tcW w:w="8484" w:type="dxa"/>
            <w:vAlign w:val="top"/>
          </w:tcPr>
          <w:p w14:paraId="6535CC8E">
            <w:pPr>
              <w:pStyle w:val="6"/>
              <w:numPr>
                <w:ilvl w:val="0"/>
                <w:numId w:val="4"/>
              </w:numPr>
              <w:ind w:left="0" w:leftChars="0" w:firstLine="0" w:firstLineChars="0"/>
              <w:rPr>
                <w:rFonts w:hint="default"/>
                <w:b/>
                <w:bCs/>
                <w:lang w:val="en-US" w:eastAsia="zh-CN"/>
              </w:rPr>
            </w:pPr>
            <w:r>
              <w:rPr>
                <w:rFonts w:hint="default"/>
                <w:b/>
                <w:bCs/>
                <w:lang w:val="en-US" w:eastAsia="zh-CN"/>
              </w:rPr>
              <w:t>生产工艺流程及产排污环节</w:t>
            </w:r>
          </w:p>
          <w:p w14:paraId="42F3B5EB">
            <w:pPr>
              <w:rPr>
                <w:rFonts w:hint="eastAsia"/>
                <w:lang w:val="en-US" w:eastAsia="zh-CN"/>
              </w:rPr>
            </w:pPr>
            <w:r>
              <w:rPr>
                <w:rFonts w:hint="eastAsia"/>
                <w:lang w:val="en-US" w:eastAsia="zh-CN"/>
              </w:rPr>
              <w:t>工艺流程简述：</w:t>
            </w:r>
          </w:p>
          <w:p w14:paraId="46BC68CC">
            <w:pPr>
              <w:numPr>
                <w:ilvl w:val="0"/>
                <w:numId w:val="5"/>
              </w:numPr>
              <w:spacing w:line="360" w:lineRule="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开料：外购木材按要求通过锯料设备直接开料，得到符合尺寸要求的木料。该过程会产生噪声、废木料及木屑粉尘，木屑粉尘主要通过设备粉尘收集设施收集后由抽风系统引入布袋除尘器进行收集。</w:t>
            </w:r>
          </w:p>
          <w:p w14:paraId="289F3A36">
            <w:pPr>
              <w:numPr>
                <w:ilvl w:val="0"/>
                <w:numId w:val="5"/>
              </w:numPr>
              <w:spacing w:line="360" w:lineRule="auto"/>
              <w:rPr>
                <w:rFonts w:hint="default"/>
                <w:lang w:val="en-US" w:eastAsia="zh-CN"/>
              </w:rPr>
            </w:pPr>
            <w:r>
              <w:rPr>
                <w:rFonts w:hint="default" w:ascii="Times New Roman" w:hAnsi="Times New Roman" w:eastAsia="宋体" w:cs="Times New Roman"/>
                <w:b w:val="0"/>
                <w:bCs w:val="0"/>
                <w:color w:val="auto"/>
                <w:sz w:val="21"/>
                <w:szCs w:val="21"/>
                <w:highlight w:val="none"/>
                <w:lang w:val="en-US" w:eastAsia="zh-CN"/>
              </w:rPr>
              <w:t>制作造型：将加工好的板料按工艺要求进行加工造型。</w:t>
            </w:r>
          </w:p>
          <w:p w14:paraId="29EA1AA5">
            <w:pPr>
              <w:pStyle w:val="6"/>
              <w:numPr>
                <w:ilvl w:val="0"/>
                <w:numId w:val="0"/>
              </w:numPr>
              <w:jc w:val="center"/>
              <w:rPr>
                <w:rFonts w:hint="default"/>
              </w:rPr>
            </w:pPr>
            <w:r>
              <w:rPr>
                <w:rFonts w:hint="default"/>
              </w:rPr>
              <w:object>
                <v:shape id="_x0000_i1026" o:spt="75" type="#_x0000_t75" style="height:150pt;width:339.1pt;" o:ole="t" filled="f" o:preferrelative="t" stroked="f" coordsize="21600,21600">
                  <v:path/>
                  <v:fill on="f" focussize="0,0"/>
                  <v:stroke on="f"/>
                  <v:imagedata r:id="rId18" croptop="-2341f" cropbottom="-2341f" o:title=""/>
                  <o:lock v:ext="edit" aspectratio="t"/>
                  <w10:wrap type="none"/>
                  <w10:anchorlock/>
                </v:shape>
                <o:OLEObject Type="Embed" ProgID="Visio.Drawing.15" ShapeID="_x0000_i1026" DrawAspect="Content" ObjectID="_1468075726" r:id="rId17">
                  <o:LockedField>false</o:LockedField>
                </o:OLEObject>
              </w:object>
            </w:r>
          </w:p>
          <w:p w14:paraId="2FD60EB9">
            <w:pPr>
              <w:ind w:left="0" w:leftChars="0" w:firstLine="0" w:firstLineChars="0"/>
              <w:jc w:val="center"/>
              <w:rPr>
                <w:rFonts w:hint="eastAsia" w:cs="Times New Roman"/>
                <w:b/>
                <w:bCs/>
                <w:lang w:val="en-US" w:eastAsia="zh-CN"/>
              </w:rPr>
            </w:pPr>
            <w:r>
              <w:rPr>
                <w:rFonts w:hint="default" w:ascii="Times New Roman" w:hAnsi="Times New Roman" w:cs="Times New Roman"/>
                <w:b/>
                <w:bCs/>
                <w:lang w:val="en-US" w:eastAsia="zh-CN"/>
              </w:rPr>
              <w:t>图2-</w:t>
            </w:r>
            <w:r>
              <w:rPr>
                <w:rFonts w:hint="eastAsia" w:cs="Times New Roman"/>
                <w:b/>
                <w:bCs/>
                <w:lang w:val="en-US" w:eastAsia="zh-CN"/>
              </w:rPr>
              <w:t>2  大板桌生产工艺流程及产污环节图</w:t>
            </w:r>
          </w:p>
          <w:p w14:paraId="67ABBF5D">
            <w:pPr>
              <w:pStyle w:val="2"/>
              <w:jc w:val="center"/>
              <w:rPr>
                <w:rFonts w:hint="eastAsia" w:cs="Times New Roman"/>
                <w:b/>
                <w:bCs/>
                <w:lang w:val="en-US" w:eastAsia="zh-CN"/>
              </w:rPr>
            </w:pPr>
            <w:r>
              <w:rPr>
                <w:rFonts w:hint="eastAsia" w:cs="Times New Roman"/>
                <w:b/>
                <w:bCs/>
                <w:lang w:val="en-US" w:eastAsia="zh-CN"/>
              </w:rPr>
              <w:object>
                <v:shape id="_x0000_i1027" o:spt="75" type="#_x0000_t75" style="height:153.75pt;width:339pt;" o:ole="t" filled="f" o:preferrelative="t" stroked="f" coordsize="21600,21600">
                  <v:path/>
                  <v:fill on="f" focussize="0,0"/>
                  <v:stroke on="f"/>
                  <v:imagedata r:id="rId20" croptop="-4345f" cropbottom="-4345f" o:title=""/>
                  <o:lock v:ext="edit" aspectratio="t"/>
                  <w10:wrap type="none"/>
                  <w10:anchorlock/>
                </v:shape>
                <o:OLEObject Type="Embed" ProgID="Visio.Drawing.15" ShapeID="_x0000_i1027" DrawAspect="Content" ObjectID="_1468075727" r:id="rId19">
                  <o:LockedField>false</o:LockedField>
                </o:OLEObject>
              </w:object>
            </w:r>
          </w:p>
          <w:p w14:paraId="30E65B01">
            <w:pPr>
              <w:ind w:left="0" w:leftChars="0" w:firstLine="0" w:firstLineChars="0"/>
              <w:jc w:val="center"/>
              <w:rPr>
                <w:rFonts w:hint="eastAsia" w:cs="Times New Roman"/>
                <w:b/>
                <w:bCs/>
                <w:lang w:val="en-US" w:eastAsia="zh-CN"/>
              </w:rPr>
            </w:pPr>
            <w:r>
              <w:rPr>
                <w:rFonts w:hint="default" w:ascii="Times New Roman" w:hAnsi="Times New Roman" w:cs="Times New Roman"/>
                <w:b/>
                <w:bCs/>
                <w:lang w:val="en-US" w:eastAsia="zh-CN"/>
              </w:rPr>
              <w:t>图2-</w:t>
            </w:r>
            <w:r>
              <w:rPr>
                <w:rFonts w:hint="eastAsia" w:cs="Times New Roman"/>
                <w:b/>
                <w:bCs/>
                <w:lang w:val="en-US" w:eastAsia="zh-CN"/>
              </w:rPr>
              <w:t>3  配套产品生产工艺流程及产污环节图</w:t>
            </w:r>
          </w:p>
          <w:p w14:paraId="3F7AB1C0">
            <w:pPr>
              <w:spacing w:line="360" w:lineRule="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（3）打磨：拼装后，采用对组装好的产品表面进行打磨，主要去除表面的毛刺，使产品更光滑，以利于后道喷漆工序油漆的附着，该过程会产生打磨粉尘及除尘过程产生木屑。</w:t>
            </w:r>
          </w:p>
          <w:p w14:paraId="76BEDBB6">
            <w:pPr>
              <w:spacing w:line="360" w:lineRule="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上漆：项目油漆在水帘喷漆房内进行。喷漆过程包括底漆和面漆，步骤主要为喷底漆、底漆晾干、喷面漆、面漆晾干。建设单位建设的喷漆房为密闭生产车间，可将喷漆、晾干的全部有机废气通过收集系统收集经</w:t>
            </w:r>
            <w:r>
              <w:rPr>
                <w:rFonts w:hint="eastAsia" w:cs="Times New Roman"/>
                <w:b w:val="0"/>
                <w:bCs w:val="0"/>
                <w:color w:val="auto"/>
                <w:sz w:val="21"/>
                <w:szCs w:val="21"/>
                <w:highlight w:val="none"/>
                <w:lang w:val="en-US" w:eastAsia="zh-CN"/>
              </w:rPr>
              <w:t xml:space="preserve">活性炭吸附处理后由 </w:t>
            </w:r>
            <w:r>
              <w:rPr>
                <w:rFonts w:hint="default" w:ascii="Times New Roman" w:hAnsi="Times New Roman" w:eastAsia="宋体" w:cs="Times New Roman"/>
                <w:b w:val="0"/>
                <w:bCs w:val="0"/>
                <w:color w:val="auto"/>
                <w:sz w:val="21"/>
                <w:szCs w:val="21"/>
                <w:highlight w:val="none"/>
                <w:lang w:val="en-US" w:eastAsia="zh-CN"/>
              </w:rPr>
              <w:t>15m 排气筒排放。喷漆还会产生漆雾，漆雾经由喷漆房内水幕流水处理后沉降于水槽中，漆渣定期打捞收集作为危险废物处理处置。该过程会产生漆渣、废油漆空桶、有机废气等。</w:t>
            </w:r>
          </w:p>
          <w:p w14:paraId="236AF073">
            <w:pPr>
              <w:spacing w:line="360" w:lineRule="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（5）包装：将上述加工好的配套产品经人工包装，包装过程需要用到包装材料。该过程会产生废包装料。</w:t>
            </w:r>
          </w:p>
          <w:p w14:paraId="444348E7">
            <w:pPr>
              <w:spacing w:line="360" w:lineRule="auto"/>
              <w:rPr>
                <w:rFonts w:hint="default"/>
                <w:lang w:val="en-US" w:eastAsia="zh-CN"/>
              </w:rPr>
            </w:pPr>
            <w:r>
              <w:rPr>
                <w:rFonts w:hint="eastAsia" w:ascii="Times New Roman" w:hAnsi="Times New Roman" w:cs="Times New Roman"/>
                <w:lang w:eastAsia="zh-CN"/>
              </w:rPr>
              <w:t>根据迁建前的扩建项目竣工环保验收报告，</w:t>
            </w:r>
            <w:r>
              <w:rPr>
                <w:rFonts w:hint="eastAsia" w:cs="Times New Roman"/>
                <w:lang w:val="en-US" w:eastAsia="zh-CN"/>
              </w:rPr>
              <w:t>本项目上漆工序产生的有机废气主要为</w:t>
            </w:r>
            <w:r>
              <w:rPr>
                <w:rFonts w:hint="eastAsia" w:ascii="Times New Roman" w:hAnsi="Times New Roman" w:cs="Times New Roman"/>
                <w:lang w:eastAsia="zh-CN"/>
              </w:rPr>
              <w:t>甲苯、二甲苯、非甲烷总烃、乙酸乙酯与乙酸丁酯合计</w:t>
            </w:r>
            <w:r>
              <w:rPr>
                <w:rFonts w:hint="eastAsia" w:cs="Times New Roman"/>
                <w:lang w:eastAsia="zh-CN"/>
              </w:rPr>
              <w:t>。</w:t>
            </w:r>
          </w:p>
        </w:tc>
      </w:tr>
      <w:tr w14:paraId="7BCA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3" w:hRule="atLeast"/>
        </w:trPr>
        <w:tc>
          <w:tcPr>
            <w:tcW w:w="426" w:type="dxa"/>
            <w:vAlign w:val="center"/>
          </w:tcPr>
          <w:p w14:paraId="01E9563F">
            <w:pPr>
              <w:pStyle w:val="16"/>
              <w:numPr>
                <w:ilvl w:val="0"/>
                <w:numId w:val="0"/>
              </w:numPr>
              <w:jc w:val="center"/>
              <w:rPr>
                <w:rFonts w:hint="default" w:ascii="Times New Roman" w:hAnsi="Times New Roman" w:cs="Times New Roman"/>
                <w:lang w:val="en-US" w:eastAsia="zh-CN"/>
              </w:rPr>
            </w:pPr>
            <w:r>
              <w:rPr>
                <w:rFonts w:hint="eastAsia" w:ascii="Times New Roman" w:hAnsi="Times New Roman" w:cs="Times New Roman"/>
                <w:lang w:val="en-US" w:eastAsia="zh-CN"/>
              </w:rPr>
              <w:t>与项目有关的原有环境污染问题</w:t>
            </w:r>
          </w:p>
        </w:tc>
        <w:tc>
          <w:tcPr>
            <w:tcW w:w="8484" w:type="dxa"/>
            <w:vAlign w:val="center"/>
          </w:tcPr>
          <w:p w14:paraId="14CC8280">
            <w:pPr>
              <w:pStyle w:val="6"/>
              <w:jc w:val="center"/>
              <w:rPr>
                <w:rFonts w:hint="default"/>
                <w:lang w:val="en-US" w:eastAsia="zh-CN"/>
              </w:rPr>
            </w:pPr>
            <w:r>
              <w:rPr>
                <w:rFonts w:hint="eastAsia"/>
                <w:lang w:val="en-US" w:eastAsia="zh-CN"/>
              </w:rPr>
              <w:t>项目建设性质为新建项目，根据《建设项目环境影响报告表编制技术指南（污染影响类）（试行）》可知，无需说明与项目有关的原有环境污染问题</w:t>
            </w:r>
          </w:p>
        </w:tc>
      </w:tr>
    </w:tbl>
    <w:p w14:paraId="023279F7">
      <w:pPr>
        <w:pStyle w:val="16"/>
        <w:numPr>
          <w:ilvl w:val="0"/>
          <w:numId w:val="0"/>
        </w:numPr>
        <w:ind w:leftChars="200"/>
        <w:jc w:val="center"/>
        <w:outlineLvl w:val="0"/>
        <w:rPr>
          <w:rFonts w:hint="eastAsia" w:ascii="黑体" w:hAnsi="黑体" w:eastAsia="黑体" w:cs="黑体"/>
          <w:sz w:val="30"/>
          <w:szCs w:val="30"/>
          <w:lang w:val="en-US" w:eastAsia="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7936AC83">
      <w:pPr>
        <w:pStyle w:val="16"/>
        <w:numPr>
          <w:ilvl w:val="0"/>
          <w:numId w:val="0"/>
        </w:numPr>
        <w:ind w:leftChars="200"/>
        <w:jc w:val="center"/>
        <w:outlineLvl w:val="0"/>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三.区域环境质量现状、环境保护目标及评价标准</w:t>
      </w:r>
    </w:p>
    <w:tbl>
      <w:tblPr>
        <w:tblStyle w:val="17"/>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508"/>
      </w:tblGrid>
      <w:tr w14:paraId="1F68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8" w:hRule="atLeast"/>
        </w:trPr>
        <w:tc>
          <w:tcPr>
            <w:tcW w:w="403" w:type="dxa"/>
            <w:vAlign w:val="center"/>
          </w:tcPr>
          <w:p w14:paraId="06E358F5">
            <w:pPr>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区域环境质量现状</w:t>
            </w:r>
          </w:p>
        </w:tc>
        <w:tc>
          <w:tcPr>
            <w:tcW w:w="8508" w:type="dxa"/>
            <w:vAlign w:val="top"/>
          </w:tcPr>
          <w:p w14:paraId="0FB93B2C">
            <w:pPr>
              <w:pStyle w:val="15"/>
              <w:widowControl/>
              <w:numPr>
                <w:ilvl w:val="0"/>
                <w:numId w:val="0"/>
              </w:numPr>
              <w:wordWrap/>
              <w:adjustRightInd/>
              <w:snapToGrid w:val="0"/>
              <w:spacing w:line="240" w:lineRule="auto"/>
              <w:ind w:right="0"/>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大气环境</w:t>
            </w:r>
          </w:p>
          <w:p w14:paraId="69D05430">
            <w:p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大气环境功能区划及环境质量标准</w:t>
            </w:r>
          </w:p>
          <w:p w14:paraId="145C7112">
            <w:pPr>
              <w:widowControl w:val="0"/>
              <w:wordWrap/>
              <w:adjustRightInd w:val="0"/>
              <w:snapToGrid w:val="0"/>
              <w:spacing w:line="360" w:lineRule="auto"/>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根据《莆田市地面水环境和环境空气功能类别区划方案》</w:t>
            </w:r>
            <w:r>
              <w:rPr>
                <w:rFonts w:hint="eastAsia" w:cs="Times New Roman"/>
                <w:lang w:val="en-US" w:eastAsia="zh-CN"/>
              </w:rPr>
              <w:t xml:space="preserve"> </w:t>
            </w:r>
            <w:r>
              <w:rPr>
                <w:rFonts w:hint="default" w:ascii="Times New Roman" w:hAnsi="Times New Roman" w:cs="Times New Roman"/>
                <w:lang w:val="en-US" w:eastAsia="zh-CN"/>
              </w:rPr>
              <w:t>（莆政[1999]</w:t>
            </w:r>
            <w:r>
              <w:rPr>
                <w:rFonts w:hint="eastAsia" w:cs="Times New Roman"/>
                <w:lang w:val="en-US" w:eastAsia="zh-CN"/>
              </w:rPr>
              <w:t xml:space="preserve"> </w:t>
            </w:r>
            <w:r>
              <w:rPr>
                <w:rFonts w:hint="default" w:ascii="Times New Roman" w:hAnsi="Times New Roman" w:cs="Times New Roman"/>
                <w:lang w:val="en-US" w:eastAsia="zh-CN"/>
              </w:rPr>
              <w:t>综79号文），项目所在区域环境空气功能区划属二类区，执行《环境空气质量标准》（GB3095-2012）二级标准。</w:t>
            </w:r>
          </w:p>
          <w:p w14:paraId="125722BF">
            <w:pPr>
              <w:rPr>
                <w:rFonts w:hint="eastAsia" w:ascii="Times New Roman" w:hAnsi="Times New Roman" w:eastAsia="宋体" w:cs="Times New Roman"/>
                <w:lang w:eastAsia="zh-CN"/>
              </w:rPr>
            </w:pPr>
            <w:r>
              <w:rPr>
                <w:rFonts w:hint="default" w:ascii="Times New Roman" w:hAnsi="Times New Roman" w:cs="Times New Roman"/>
              </w:rPr>
              <w:t>项目环境空气质量执行标准详见表3-1</w:t>
            </w:r>
            <w:r>
              <w:rPr>
                <w:rFonts w:hint="eastAsia" w:cs="Times New Roman"/>
                <w:lang w:eastAsia="zh-CN"/>
              </w:rPr>
              <w:t>。</w:t>
            </w:r>
          </w:p>
          <w:p w14:paraId="5BF9D879">
            <w:pPr>
              <w:widowControl w:val="0"/>
              <w:wordWrap/>
              <w:adjustRightInd/>
              <w:snapToGrid/>
              <w:spacing w:line="360" w:lineRule="auto"/>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表3-1  环境空气质量标准</w:t>
            </w:r>
          </w:p>
          <w:tbl>
            <w:tblPr>
              <w:tblStyle w:val="17"/>
              <w:tblW w:w="82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2033"/>
              <w:gridCol w:w="1981"/>
              <w:gridCol w:w="2900"/>
            </w:tblGrid>
            <w:tr w14:paraId="5732E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3A4E70DF">
                  <w:pPr>
                    <w:pStyle w:val="29"/>
                    <w:rPr>
                      <w:rFonts w:hint="default" w:ascii="Times New Roman" w:hAnsi="Times New Roman" w:cs="Times New Roman"/>
                      <w:b/>
                      <w:bCs/>
                      <w:sz w:val="18"/>
                      <w:szCs w:val="18"/>
                    </w:rPr>
                  </w:pPr>
                  <w:r>
                    <w:rPr>
                      <w:rFonts w:hint="default" w:ascii="Times New Roman" w:hAnsi="Times New Roman" w:cs="Times New Roman"/>
                      <w:b/>
                      <w:bCs/>
                      <w:sz w:val="18"/>
                      <w:szCs w:val="18"/>
                    </w:rPr>
                    <w:t>污染物</w:t>
                  </w:r>
                </w:p>
              </w:tc>
              <w:tc>
                <w:tcPr>
                  <w:tcW w:w="2033" w:type="dxa"/>
                  <w:vMerge w:val="restart"/>
                  <w:vAlign w:val="center"/>
                </w:tcPr>
                <w:p w14:paraId="43483672">
                  <w:pPr>
                    <w:pStyle w:val="29"/>
                    <w:rPr>
                      <w:rFonts w:hint="default" w:ascii="Times New Roman" w:hAnsi="Times New Roman" w:cs="Times New Roman"/>
                      <w:b/>
                      <w:bCs/>
                      <w:sz w:val="18"/>
                      <w:szCs w:val="18"/>
                    </w:rPr>
                  </w:pPr>
                  <w:r>
                    <w:rPr>
                      <w:rFonts w:hint="default" w:ascii="Times New Roman" w:hAnsi="Times New Roman" w:cs="Times New Roman"/>
                      <w:b/>
                      <w:bCs/>
                      <w:sz w:val="18"/>
                      <w:szCs w:val="18"/>
                    </w:rPr>
                    <w:t>取值时间</w:t>
                  </w:r>
                </w:p>
              </w:tc>
              <w:tc>
                <w:tcPr>
                  <w:tcW w:w="1981" w:type="dxa"/>
                  <w:vAlign w:val="center"/>
                </w:tcPr>
                <w:p w14:paraId="15E103AA">
                  <w:pPr>
                    <w:pStyle w:val="29"/>
                    <w:rPr>
                      <w:rFonts w:hint="default" w:ascii="Times New Roman" w:hAnsi="Times New Roman" w:cs="Times New Roman"/>
                      <w:b/>
                      <w:bCs/>
                      <w:sz w:val="18"/>
                      <w:szCs w:val="18"/>
                    </w:rPr>
                  </w:pPr>
                  <w:r>
                    <w:rPr>
                      <w:rFonts w:hint="default" w:ascii="Times New Roman" w:hAnsi="Times New Roman" w:cs="Times New Roman"/>
                      <w:b/>
                      <w:bCs/>
                      <w:sz w:val="18"/>
                      <w:szCs w:val="18"/>
                    </w:rPr>
                    <w:t>浓度限值</w:t>
                  </w:r>
                </w:p>
              </w:tc>
              <w:tc>
                <w:tcPr>
                  <w:tcW w:w="2900" w:type="dxa"/>
                  <w:vMerge w:val="restart"/>
                  <w:vAlign w:val="center"/>
                </w:tcPr>
                <w:p w14:paraId="19D31EC1">
                  <w:pPr>
                    <w:pStyle w:val="29"/>
                    <w:rPr>
                      <w:rFonts w:hint="default" w:ascii="Times New Roman" w:hAnsi="Times New Roman" w:cs="Times New Roman"/>
                      <w:b/>
                      <w:bCs/>
                      <w:sz w:val="18"/>
                      <w:szCs w:val="18"/>
                    </w:rPr>
                  </w:pPr>
                  <w:r>
                    <w:rPr>
                      <w:rFonts w:hint="default" w:ascii="Times New Roman" w:hAnsi="Times New Roman" w:cs="Times New Roman"/>
                      <w:b/>
                      <w:bCs/>
                      <w:sz w:val="18"/>
                      <w:szCs w:val="18"/>
                    </w:rPr>
                    <w:t>标准来源</w:t>
                  </w:r>
                </w:p>
              </w:tc>
            </w:tr>
            <w:tr w14:paraId="3DF0E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684F0582">
                  <w:pPr>
                    <w:pStyle w:val="29"/>
                    <w:rPr>
                      <w:rFonts w:hint="default" w:ascii="Times New Roman" w:hAnsi="Times New Roman" w:cs="Times New Roman"/>
                      <w:b/>
                      <w:bCs/>
                      <w:sz w:val="18"/>
                      <w:szCs w:val="18"/>
                    </w:rPr>
                  </w:pPr>
                </w:p>
              </w:tc>
              <w:tc>
                <w:tcPr>
                  <w:tcW w:w="2033" w:type="dxa"/>
                  <w:vMerge w:val="continue"/>
                  <w:vAlign w:val="center"/>
                </w:tcPr>
                <w:p w14:paraId="48AC83BF">
                  <w:pPr>
                    <w:pStyle w:val="29"/>
                    <w:rPr>
                      <w:rFonts w:hint="default" w:ascii="Times New Roman" w:hAnsi="Times New Roman" w:cs="Times New Roman"/>
                      <w:b/>
                      <w:bCs/>
                      <w:sz w:val="18"/>
                      <w:szCs w:val="18"/>
                    </w:rPr>
                  </w:pPr>
                </w:p>
              </w:tc>
              <w:tc>
                <w:tcPr>
                  <w:tcW w:w="1981" w:type="dxa"/>
                  <w:vAlign w:val="center"/>
                </w:tcPr>
                <w:p w14:paraId="72873798">
                  <w:pPr>
                    <w:pStyle w:val="29"/>
                    <w:rPr>
                      <w:rFonts w:hint="default" w:ascii="Times New Roman" w:hAnsi="Times New Roman" w:cs="Times New Roman"/>
                      <w:b/>
                      <w:bCs/>
                      <w:sz w:val="18"/>
                      <w:szCs w:val="18"/>
                    </w:rPr>
                  </w:pPr>
                  <w:r>
                    <w:rPr>
                      <w:rFonts w:hint="default" w:ascii="Times New Roman" w:hAnsi="Times New Roman" w:cs="Times New Roman"/>
                      <w:b/>
                      <w:bCs/>
                      <w:sz w:val="18"/>
                      <w:szCs w:val="18"/>
                    </w:rPr>
                    <w:t>二级标准</w:t>
                  </w:r>
                </w:p>
              </w:tc>
              <w:tc>
                <w:tcPr>
                  <w:tcW w:w="2900" w:type="dxa"/>
                  <w:vMerge w:val="continue"/>
                  <w:vAlign w:val="center"/>
                </w:tcPr>
                <w:p w14:paraId="03074DB3">
                  <w:pPr>
                    <w:pStyle w:val="29"/>
                    <w:rPr>
                      <w:rFonts w:hint="default" w:ascii="Times New Roman" w:hAnsi="Times New Roman" w:cs="Times New Roman"/>
                      <w:b/>
                      <w:bCs/>
                      <w:sz w:val="18"/>
                      <w:szCs w:val="18"/>
                    </w:rPr>
                  </w:pPr>
                </w:p>
              </w:tc>
            </w:tr>
            <w:tr w14:paraId="378E6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2A634A84">
                  <w:pPr>
                    <w:pStyle w:val="29"/>
                    <w:rPr>
                      <w:rFonts w:hint="default" w:ascii="Times New Roman" w:hAnsi="Times New Roman" w:cs="Times New Roman"/>
                      <w:sz w:val="18"/>
                      <w:szCs w:val="18"/>
                    </w:rPr>
                  </w:pPr>
                  <w:r>
                    <w:rPr>
                      <w:rFonts w:hint="default" w:ascii="Times New Roman" w:hAnsi="Times New Roman" w:cs="Times New Roman"/>
                      <w:sz w:val="18"/>
                      <w:szCs w:val="18"/>
                    </w:rPr>
                    <w:t>SO</w:t>
                  </w:r>
                  <w:r>
                    <w:rPr>
                      <w:rFonts w:hint="default" w:ascii="Times New Roman" w:hAnsi="Times New Roman" w:cs="Times New Roman"/>
                      <w:sz w:val="18"/>
                      <w:szCs w:val="18"/>
                      <w:vertAlign w:val="subscript"/>
                    </w:rPr>
                    <w:t>2</w:t>
                  </w:r>
                </w:p>
              </w:tc>
              <w:tc>
                <w:tcPr>
                  <w:tcW w:w="2033" w:type="dxa"/>
                  <w:vAlign w:val="center"/>
                </w:tcPr>
                <w:p w14:paraId="25E6419B">
                  <w:pPr>
                    <w:pStyle w:val="29"/>
                    <w:rPr>
                      <w:rFonts w:hint="default" w:ascii="Times New Roman" w:hAnsi="Times New Roman" w:cs="Times New Roman"/>
                      <w:sz w:val="18"/>
                      <w:szCs w:val="18"/>
                    </w:rPr>
                  </w:pPr>
                  <w:r>
                    <w:rPr>
                      <w:rFonts w:hint="default" w:ascii="Times New Roman" w:hAnsi="Times New Roman" w:cs="Times New Roman"/>
                      <w:sz w:val="18"/>
                      <w:szCs w:val="18"/>
                    </w:rPr>
                    <w:t>年平均</w:t>
                  </w:r>
                </w:p>
              </w:tc>
              <w:tc>
                <w:tcPr>
                  <w:tcW w:w="1981" w:type="dxa"/>
                  <w:vAlign w:val="center"/>
                </w:tcPr>
                <w:p w14:paraId="4AA8459D">
                  <w:pPr>
                    <w:pStyle w:val="29"/>
                    <w:rPr>
                      <w:rFonts w:hint="default" w:ascii="Times New Roman" w:hAnsi="Times New Roman" w:cs="Times New Roman"/>
                      <w:sz w:val="18"/>
                      <w:szCs w:val="18"/>
                    </w:rPr>
                  </w:pPr>
                  <w:r>
                    <w:rPr>
                      <w:rFonts w:hint="default" w:ascii="Times New Roman" w:hAnsi="Times New Roman" w:cs="Times New Roman"/>
                      <w:sz w:val="18"/>
                      <w:szCs w:val="18"/>
                    </w:rPr>
                    <w:t>60 μg/m</w:t>
                  </w:r>
                  <w:r>
                    <w:rPr>
                      <w:rFonts w:hint="default" w:ascii="Times New Roman" w:hAnsi="Times New Roman" w:cs="Times New Roman"/>
                      <w:sz w:val="18"/>
                      <w:szCs w:val="18"/>
                      <w:vertAlign w:val="superscript"/>
                    </w:rPr>
                    <w:t>3</w:t>
                  </w:r>
                </w:p>
              </w:tc>
              <w:tc>
                <w:tcPr>
                  <w:tcW w:w="2900" w:type="dxa"/>
                  <w:vMerge w:val="restart"/>
                  <w:vAlign w:val="center"/>
                </w:tcPr>
                <w:p w14:paraId="19513983">
                  <w:pPr>
                    <w:pStyle w:val="29"/>
                    <w:rPr>
                      <w:rFonts w:hint="default" w:ascii="Times New Roman" w:hAnsi="Times New Roman" w:cs="Times New Roman"/>
                      <w:sz w:val="18"/>
                      <w:szCs w:val="18"/>
                    </w:rPr>
                  </w:pPr>
                  <w:r>
                    <w:rPr>
                      <w:rFonts w:hint="default" w:ascii="Times New Roman" w:hAnsi="Times New Roman" w:cs="Times New Roman"/>
                      <w:sz w:val="18"/>
                      <w:szCs w:val="18"/>
                    </w:rPr>
                    <w:t>《环境空气质量标准》(GB3095-2012)</w:t>
                  </w:r>
                </w:p>
              </w:tc>
            </w:tr>
            <w:tr w14:paraId="11673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22C90422">
                  <w:pPr>
                    <w:pStyle w:val="29"/>
                    <w:rPr>
                      <w:rFonts w:hint="default" w:ascii="Times New Roman" w:hAnsi="Times New Roman" w:cs="Times New Roman"/>
                      <w:sz w:val="18"/>
                      <w:szCs w:val="18"/>
                    </w:rPr>
                  </w:pPr>
                </w:p>
              </w:tc>
              <w:tc>
                <w:tcPr>
                  <w:tcW w:w="2033" w:type="dxa"/>
                  <w:vAlign w:val="center"/>
                </w:tcPr>
                <w:p w14:paraId="65537D43">
                  <w:pPr>
                    <w:pStyle w:val="29"/>
                    <w:rPr>
                      <w:rFonts w:hint="default" w:ascii="Times New Roman" w:hAnsi="Times New Roman" w:cs="Times New Roman"/>
                      <w:sz w:val="18"/>
                      <w:szCs w:val="18"/>
                    </w:rPr>
                  </w:pPr>
                  <w:r>
                    <w:rPr>
                      <w:rFonts w:hint="default" w:ascii="Times New Roman" w:hAnsi="Times New Roman" w:cs="Times New Roman"/>
                      <w:sz w:val="18"/>
                      <w:szCs w:val="18"/>
                    </w:rPr>
                    <w:t>24小时平均</w:t>
                  </w:r>
                </w:p>
              </w:tc>
              <w:tc>
                <w:tcPr>
                  <w:tcW w:w="1981" w:type="dxa"/>
                  <w:vAlign w:val="center"/>
                </w:tcPr>
                <w:p w14:paraId="58833747">
                  <w:pPr>
                    <w:pStyle w:val="29"/>
                    <w:rPr>
                      <w:rFonts w:hint="default" w:ascii="Times New Roman" w:hAnsi="Times New Roman" w:cs="Times New Roman"/>
                      <w:sz w:val="18"/>
                      <w:szCs w:val="18"/>
                    </w:rPr>
                  </w:pPr>
                  <w:r>
                    <w:rPr>
                      <w:rFonts w:hint="default" w:ascii="Times New Roman" w:hAnsi="Times New Roman" w:cs="Times New Roman"/>
                      <w:sz w:val="18"/>
                      <w:szCs w:val="18"/>
                    </w:rPr>
                    <w:t>150 μg/m</w:t>
                  </w:r>
                  <w:r>
                    <w:rPr>
                      <w:rFonts w:hint="default" w:ascii="Times New Roman" w:hAnsi="Times New Roman" w:cs="Times New Roman"/>
                      <w:sz w:val="18"/>
                      <w:szCs w:val="18"/>
                      <w:vertAlign w:val="superscript"/>
                    </w:rPr>
                    <w:t>3</w:t>
                  </w:r>
                </w:p>
              </w:tc>
              <w:tc>
                <w:tcPr>
                  <w:tcW w:w="2900" w:type="dxa"/>
                  <w:vMerge w:val="continue"/>
                  <w:vAlign w:val="center"/>
                </w:tcPr>
                <w:p w14:paraId="5B873E15">
                  <w:pPr>
                    <w:pStyle w:val="29"/>
                    <w:rPr>
                      <w:rFonts w:hint="default" w:ascii="Times New Roman" w:hAnsi="Times New Roman" w:cs="Times New Roman"/>
                      <w:sz w:val="18"/>
                      <w:szCs w:val="18"/>
                    </w:rPr>
                  </w:pPr>
                </w:p>
              </w:tc>
            </w:tr>
            <w:tr w14:paraId="1A892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5656D6C0">
                  <w:pPr>
                    <w:pStyle w:val="29"/>
                    <w:rPr>
                      <w:rFonts w:hint="default" w:ascii="Times New Roman" w:hAnsi="Times New Roman" w:cs="Times New Roman"/>
                      <w:sz w:val="18"/>
                      <w:szCs w:val="18"/>
                    </w:rPr>
                  </w:pPr>
                </w:p>
              </w:tc>
              <w:tc>
                <w:tcPr>
                  <w:tcW w:w="2033" w:type="dxa"/>
                  <w:vAlign w:val="center"/>
                </w:tcPr>
                <w:p w14:paraId="7D2318DC">
                  <w:pPr>
                    <w:pStyle w:val="29"/>
                    <w:rPr>
                      <w:rFonts w:hint="default" w:ascii="Times New Roman" w:hAnsi="Times New Roman" w:cs="Times New Roman"/>
                      <w:sz w:val="18"/>
                      <w:szCs w:val="18"/>
                    </w:rPr>
                  </w:pPr>
                  <w:r>
                    <w:rPr>
                      <w:rFonts w:hint="default" w:ascii="Times New Roman" w:hAnsi="Times New Roman" w:cs="Times New Roman"/>
                      <w:sz w:val="18"/>
                      <w:szCs w:val="18"/>
                    </w:rPr>
                    <w:t>小时平均</w:t>
                  </w:r>
                </w:p>
              </w:tc>
              <w:tc>
                <w:tcPr>
                  <w:tcW w:w="1981" w:type="dxa"/>
                  <w:vAlign w:val="center"/>
                </w:tcPr>
                <w:p w14:paraId="118DA954">
                  <w:pPr>
                    <w:pStyle w:val="29"/>
                    <w:rPr>
                      <w:rFonts w:hint="default" w:ascii="Times New Roman" w:hAnsi="Times New Roman" w:cs="Times New Roman"/>
                      <w:sz w:val="18"/>
                      <w:szCs w:val="18"/>
                    </w:rPr>
                  </w:pPr>
                  <w:r>
                    <w:rPr>
                      <w:rFonts w:hint="default" w:ascii="Times New Roman" w:hAnsi="Times New Roman" w:cs="Times New Roman"/>
                      <w:sz w:val="18"/>
                      <w:szCs w:val="18"/>
                    </w:rPr>
                    <w:t>500 μg/m</w:t>
                  </w:r>
                  <w:r>
                    <w:rPr>
                      <w:rFonts w:hint="default" w:ascii="Times New Roman" w:hAnsi="Times New Roman" w:cs="Times New Roman"/>
                      <w:sz w:val="18"/>
                      <w:szCs w:val="18"/>
                      <w:vertAlign w:val="superscript"/>
                    </w:rPr>
                    <w:t>3</w:t>
                  </w:r>
                </w:p>
              </w:tc>
              <w:tc>
                <w:tcPr>
                  <w:tcW w:w="2900" w:type="dxa"/>
                  <w:vMerge w:val="continue"/>
                  <w:vAlign w:val="center"/>
                </w:tcPr>
                <w:p w14:paraId="6861760A">
                  <w:pPr>
                    <w:pStyle w:val="29"/>
                    <w:rPr>
                      <w:rFonts w:hint="default" w:ascii="Times New Roman" w:hAnsi="Times New Roman" w:cs="Times New Roman"/>
                      <w:sz w:val="18"/>
                      <w:szCs w:val="18"/>
                    </w:rPr>
                  </w:pPr>
                </w:p>
              </w:tc>
            </w:tr>
            <w:tr w14:paraId="0BC9D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0221BEA9">
                  <w:pPr>
                    <w:pStyle w:val="29"/>
                    <w:rPr>
                      <w:rFonts w:hint="default" w:ascii="Times New Roman" w:hAnsi="Times New Roman" w:cs="Times New Roman"/>
                      <w:sz w:val="18"/>
                      <w:szCs w:val="18"/>
                    </w:rPr>
                  </w:pPr>
                  <w:r>
                    <w:rPr>
                      <w:rFonts w:hint="default" w:ascii="Times New Roman" w:hAnsi="Times New Roman" w:cs="Times New Roman"/>
                      <w:sz w:val="18"/>
                      <w:szCs w:val="18"/>
                    </w:rPr>
                    <w:t>NO</w:t>
                  </w:r>
                  <w:r>
                    <w:rPr>
                      <w:rFonts w:hint="default" w:ascii="Times New Roman" w:hAnsi="Times New Roman" w:cs="Times New Roman"/>
                      <w:sz w:val="18"/>
                      <w:szCs w:val="18"/>
                      <w:vertAlign w:val="subscript"/>
                    </w:rPr>
                    <w:t>2</w:t>
                  </w:r>
                </w:p>
              </w:tc>
              <w:tc>
                <w:tcPr>
                  <w:tcW w:w="2033" w:type="dxa"/>
                  <w:vAlign w:val="center"/>
                </w:tcPr>
                <w:p w14:paraId="3869B2EC">
                  <w:pPr>
                    <w:pStyle w:val="29"/>
                    <w:rPr>
                      <w:rFonts w:hint="default" w:ascii="Times New Roman" w:hAnsi="Times New Roman" w:cs="Times New Roman"/>
                      <w:sz w:val="18"/>
                      <w:szCs w:val="18"/>
                    </w:rPr>
                  </w:pPr>
                  <w:r>
                    <w:rPr>
                      <w:rFonts w:hint="default" w:ascii="Times New Roman" w:hAnsi="Times New Roman" w:cs="Times New Roman"/>
                      <w:sz w:val="18"/>
                      <w:szCs w:val="18"/>
                    </w:rPr>
                    <w:t>年平均</w:t>
                  </w:r>
                </w:p>
              </w:tc>
              <w:tc>
                <w:tcPr>
                  <w:tcW w:w="1981" w:type="dxa"/>
                  <w:vAlign w:val="center"/>
                </w:tcPr>
                <w:p w14:paraId="707ED391">
                  <w:pPr>
                    <w:pStyle w:val="29"/>
                    <w:rPr>
                      <w:rFonts w:hint="default" w:ascii="Times New Roman" w:hAnsi="Times New Roman" w:cs="Times New Roman"/>
                      <w:sz w:val="18"/>
                      <w:szCs w:val="18"/>
                    </w:rPr>
                  </w:pPr>
                  <w:r>
                    <w:rPr>
                      <w:rFonts w:hint="default" w:ascii="Times New Roman" w:hAnsi="Times New Roman" w:cs="Times New Roman"/>
                      <w:sz w:val="18"/>
                      <w:szCs w:val="18"/>
                    </w:rPr>
                    <w:t>40 μg/m</w:t>
                  </w:r>
                  <w:r>
                    <w:rPr>
                      <w:rFonts w:hint="default" w:ascii="Times New Roman" w:hAnsi="Times New Roman" w:cs="Times New Roman"/>
                      <w:sz w:val="18"/>
                      <w:szCs w:val="18"/>
                      <w:vertAlign w:val="superscript"/>
                    </w:rPr>
                    <w:t>3</w:t>
                  </w:r>
                </w:p>
              </w:tc>
              <w:tc>
                <w:tcPr>
                  <w:tcW w:w="2900" w:type="dxa"/>
                  <w:vMerge w:val="continue"/>
                  <w:vAlign w:val="center"/>
                </w:tcPr>
                <w:p w14:paraId="4870E672">
                  <w:pPr>
                    <w:pStyle w:val="29"/>
                    <w:rPr>
                      <w:rFonts w:hint="default" w:ascii="Times New Roman" w:hAnsi="Times New Roman" w:cs="Times New Roman"/>
                      <w:sz w:val="18"/>
                      <w:szCs w:val="18"/>
                    </w:rPr>
                  </w:pPr>
                </w:p>
              </w:tc>
            </w:tr>
            <w:tr w14:paraId="1B8A3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07EB885A">
                  <w:pPr>
                    <w:pStyle w:val="29"/>
                    <w:rPr>
                      <w:rFonts w:hint="default" w:ascii="Times New Roman" w:hAnsi="Times New Roman" w:cs="Times New Roman"/>
                      <w:sz w:val="18"/>
                      <w:szCs w:val="18"/>
                    </w:rPr>
                  </w:pPr>
                </w:p>
              </w:tc>
              <w:tc>
                <w:tcPr>
                  <w:tcW w:w="2033" w:type="dxa"/>
                  <w:vAlign w:val="center"/>
                </w:tcPr>
                <w:p w14:paraId="70DE770E">
                  <w:pPr>
                    <w:pStyle w:val="29"/>
                    <w:rPr>
                      <w:rFonts w:hint="default" w:ascii="Times New Roman" w:hAnsi="Times New Roman" w:cs="Times New Roman"/>
                      <w:sz w:val="18"/>
                      <w:szCs w:val="18"/>
                    </w:rPr>
                  </w:pPr>
                  <w:r>
                    <w:rPr>
                      <w:rFonts w:hint="default" w:ascii="Times New Roman" w:hAnsi="Times New Roman" w:cs="Times New Roman"/>
                      <w:sz w:val="18"/>
                      <w:szCs w:val="18"/>
                    </w:rPr>
                    <w:t>24小时平均</w:t>
                  </w:r>
                </w:p>
              </w:tc>
              <w:tc>
                <w:tcPr>
                  <w:tcW w:w="1981" w:type="dxa"/>
                  <w:vAlign w:val="center"/>
                </w:tcPr>
                <w:p w14:paraId="31588BB4">
                  <w:pPr>
                    <w:pStyle w:val="29"/>
                    <w:rPr>
                      <w:rFonts w:hint="default" w:ascii="Times New Roman" w:hAnsi="Times New Roman" w:cs="Times New Roman"/>
                      <w:sz w:val="18"/>
                      <w:szCs w:val="18"/>
                    </w:rPr>
                  </w:pPr>
                  <w:r>
                    <w:rPr>
                      <w:rFonts w:hint="default" w:ascii="Times New Roman" w:hAnsi="Times New Roman" w:cs="Times New Roman"/>
                      <w:sz w:val="18"/>
                      <w:szCs w:val="18"/>
                    </w:rPr>
                    <w:t>80 μg/m</w:t>
                  </w:r>
                  <w:r>
                    <w:rPr>
                      <w:rFonts w:hint="default" w:ascii="Times New Roman" w:hAnsi="Times New Roman" w:cs="Times New Roman"/>
                      <w:sz w:val="18"/>
                      <w:szCs w:val="18"/>
                      <w:vertAlign w:val="superscript"/>
                    </w:rPr>
                    <w:t>3</w:t>
                  </w:r>
                </w:p>
              </w:tc>
              <w:tc>
                <w:tcPr>
                  <w:tcW w:w="2900" w:type="dxa"/>
                  <w:vMerge w:val="continue"/>
                  <w:vAlign w:val="center"/>
                </w:tcPr>
                <w:p w14:paraId="37E73D2D">
                  <w:pPr>
                    <w:pStyle w:val="29"/>
                    <w:rPr>
                      <w:rFonts w:hint="default" w:ascii="Times New Roman" w:hAnsi="Times New Roman" w:cs="Times New Roman"/>
                      <w:sz w:val="18"/>
                      <w:szCs w:val="18"/>
                    </w:rPr>
                  </w:pPr>
                </w:p>
              </w:tc>
            </w:tr>
            <w:tr w14:paraId="3F6ED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36203BA9">
                  <w:pPr>
                    <w:pStyle w:val="29"/>
                    <w:rPr>
                      <w:rFonts w:hint="default" w:ascii="Times New Roman" w:hAnsi="Times New Roman" w:cs="Times New Roman"/>
                      <w:sz w:val="18"/>
                      <w:szCs w:val="18"/>
                    </w:rPr>
                  </w:pPr>
                </w:p>
              </w:tc>
              <w:tc>
                <w:tcPr>
                  <w:tcW w:w="2033" w:type="dxa"/>
                  <w:vAlign w:val="center"/>
                </w:tcPr>
                <w:p w14:paraId="6185F3D8">
                  <w:pPr>
                    <w:pStyle w:val="29"/>
                    <w:rPr>
                      <w:rFonts w:hint="default" w:ascii="Times New Roman" w:hAnsi="Times New Roman" w:cs="Times New Roman"/>
                      <w:sz w:val="18"/>
                      <w:szCs w:val="18"/>
                    </w:rPr>
                  </w:pPr>
                  <w:r>
                    <w:rPr>
                      <w:rFonts w:hint="default" w:ascii="Times New Roman" w:hAnsi="Times New Roman" w:cs="Times New Roman"/>
                      <w:sz w:val="18"/>
                      <w:szCs w:val="18"/>
                    </w:rPr>
                    <w:t>小时平均</w:t>
                  </w:r>
                </w:p>
              </w:tc>
              <w:tc>
                <w:tcPr>
                  <w:tcW w:w="1981" w:type="dxa"/>
                  <w:vAlign w:val="center"/>
                </w:tcPr>
                <w:p w14:paraId="7A740B83">
                  <w:pPr>
                    <w:pStyle w:val="29"/>
                    <w:rPr>
                      <w:rFonts w:hint="default" w:ascii="Times New Roman" w:hAnsi="Times New Roman" w:cs="Times New Roman"/>
                      <w:sz w:val="18"/>
                      <w:szCs w:val="18"/>
                    </w:rPr>
                  </w:pPr>
                  <w:r>
                    <w:rPr>
                      <w:rFonts w:hint="default" w:ascii="Times New Roman" w:hAnsi="Times New Roman" w:cs="Times New Roman"/>
                      <w:sz w:val="18"/>
                      <w:szCs w:val="18"/>
                    </w:rPr>
                    <w:t>200 μg/m</w:t>
                  </w:r>
                  <w:r>
                    <w:rPr>
                      <w:rFonts w:hint="default" w:ascii="Times New Roman" w:hAnsi="Times New Roman" w:cs="Times New Roman"/>
                      <w:sz w:val="18"/>
                      <w:szCs w:val="18"/>
                      <w:vertAlign w:val="superscript"/>
                    </w:rPr>
                    <w:t>3</w:t>
                  </w:r>
                </w:p>
              </w:tc>
              <w:tc>
                <w:tcPr>
                  <w:tcW w:w="2900" w:type="dxa"/>
                  <w:vMerge w:val="continue"/>
                  <w:vAlign w:val="center"/>
                </w:tcPr>
                <w:p w14:paraId="5A23A08B">
                  <w:pPr>
                    <w:pStyle w:val="29"/>
                    <w:rPr>
                      <w:rFonts w:hint="default" w:ascii="Times New Roman" w:hAnsi="Times New Roman" w:cs="Times New Roman"/>
                      <w:sz w:val="18"/>
                      <w:szCs w:val="18"/>
                    </w:rPr>
                  </w:pPr>
                </w:p>
              </w:tc>
            </w:tr>
            <w:tr w14:paraId="173D8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6D28CC1D">
                  <w:pPr>
                    <w:pStyle w:val="29"/>
                    <w:rPr>
                      <w:rFonts w:hint="default" w:ascii="Times New Roman" w:hAnsi="Times New Roman" w:cs="Times New Roman"/>
                      <w:sz w:val="18"/>
                      <w:szCs w:val="18"/>
                    </w:rPr>
                  </w:pPr>
                  <w:r>
                    <w:rPr>
                      <w:rFonts w:hint="default" w:ascii="Times New Roman" w:hAnsi="Times New Roman" w:cs="Times New Roman"/>
                      <w:sz w:val="18"/>
                      <w:szCs w:val="18"/>
                    </w:rPr>
                    <w:t>PM</w:t>
                  </w:r>
                  <w:r>
                    <w:rPr>
                      <w:rFonts w:hint="default" w:ascii="Times New Roman" w:hAnsi="Times New Roman" w:cs="Times New Roman"/>
                      <w:sz w:val="18"/>
                      <w:szCs w:val="18"/>
                      <w:vertAlign w:val="subscript"/>
                    </w:rPr>
                    <w:t>10</w:t>
                  </w:r>
                </w:p>
              </w:tc>
              <w:tc>
                <w:tcPr>
                  <w:tcW w:w="2033" w:type="dxa"/>
                  <w:vAlign w:val="center"/>
                </w:tcPr>
                <w:p w14:paraId="59444268">
                  <w:pPr>
                    <w:pStyle w:val="29"/>
                    <w:rPr>
                      <w:rFonts w:hint="default" w:ascii="Times New Roman" w:hAnsi="Times New Roman" w:cs="Times New Roman"/>
                      <w:sz w:val="18"/>
                      <w:szCs w:val="18"/>
                    </w:rPr>
                  </w:pPr>
                  <w:r>
                    <w:rPr>
                      <w:rFonts w:hint="default" w:ascii="Times New Roman" w:hAnsi="Times New Roman" w:cs="Times New Roman"/>
                      <w:sz w:val="18"/>
                      <w:szCs w:val="18"/>
                    </w:rPr>
                    <w:t>年平均</w:t>
                  </w:r>
                </w:p>
              </w:tc>
              <w:tc>
                <w:tcPr>
                  <w:tcW w:w="1981" w:type="dxa"/>
                  <w:vAlign w:val="center"/>
                </w:tcPr>
                <w:p w14:paraId="22DE8114">
                  <w:pPr>
                    <w:pStyle w:val="29"/>
                    <w:rPr>
                      <w:rFonts w:hint="default" w:ascii="Times New Roman" w:hAnsi="Times New Roman" w:cs="Times New Roman"/>
                      <w:sz w:val="18"/>
                      <w:szCs w:val="18"/>
                    </w:rPr>
                  </w:pPr>
                  <w:r>
                    <w:rPr>
                      <w:rFonts w:hint="default" w:ascii="Times New Roman" w:hAnsi="Times New Roman" w:cs="Times New Roman"/>
                      <w:sz w:val="18"/>
                      <w:szCs w:val="18"/>
                    </w:rPr>
                    <w:t>70 μg/m</w:t>
                  </w:r>
                  <w:r>
                    <w:rPr>
                      <w:rFonts w:hint="default" w:ascii="Times New Roman" w:hAnsi="Times New Roman" w:cs="Times New Roman"/>
                      <w:sz w:val="18"/>
                      <w:szCs w:val="18"/>
                      <w:vertAlign w:val="superscript"/>
                    </w:rPr>
                    <w:t>3</w:t>
                  </w:r>
                </w:p>
              </w:tc>
              <w:tc>
                <w:tcPr>
                  <w:tcW w:w="2900" w:type="dxa"/>
                  <w:vMerge w:val="continue"/>
                  <w:vAlign w:val="center"/>
                </w:tcPr>
                <w:p w14:paraId="194160D0">
                  <w:pPr>
                    <w:pStyle w:val="29"/>
                    <w:rPr>
                      <w:rFonts w:hint="default" w:ascii="Times New Roman" w:hAnsi="Times New Roman" w:cs="Times New Roman"/>
                      <w:sz w:val="18"/>
                      <w:szCs w:val="18"/>
                    </w:rPr>
                  </w:pPr>
                </w:p>
              </w:tc>
            </w:tr>
            <w:tr w14:paraId="4EFB6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60218012">
                  <w:pPr>
                    <w:pStyle w:val="29"/>
                    <w:rPr>
                      <w:rFonts w:hint="default" w:ascii="Times New Roman" w:hAnsi="Times New Roman" w:cs="Times New Roman"/>
                      <w:sz w:val="18"/>
                      <w:szCs w:val="18"/>
                    </w:rPr>
                  </w:pPr>
                </w:p>
              </w:tc>
              <w:tc>
                <w:tcPr>
                  <w:tcW w:w="2033" w:type="dxa"/>
                  <w:vAlign w:val="center"/>
                </w:tcPr>
                <w:p w14:paraId="42804758">
                  <w:pPr>
                    <w:pStyle w:val="29"/>
                    <w:rPr>
                      <w:rFonts w:hint="default" w:ascii="Times New Roman" w:hAnsi="Times New Roman" w:cs="Times New Roman"/>
                      <w:sz w:val="18"/>
                      <w:szCs w:val="18"/>
                    </w:rPr>
                  </w:pPr>
                  <w:r>
                    <w:rPr>
                      <w:rFonts w:hint="default" w:ascii="Times New Roman" w:hAnsi="Times New Roman" w:cs="Times New Roman"/>
                      <w:sz w:val="18"/>
                      <w:szCs w:val="18"/>
                    </w:rPr>
                    <w:t>24小时平均</w:t>
                  </w:r>
                </w:p>
              </w:tc>
              <w:tc>
                <w:tcPr>
                  <w:tcW w:w="1981" w:type="dxa"/>
                  <w:vAlign w:val="center"/>
                </w:tcPr>
                <w:p w14:paraId="3C042CC4">
                  <w:pPr>
                    <w:pStyle w:val="29"/>
                    <w:rPr>
                      <w:rFonts w:hint="default" w:ascii="Times New Roman" w:hAnsi="Times New Roman" w:cs="Times New Roman"/>
                      <w:sz w:val="18"/>
                      <w:szCs w:val="18"/>
                    </w:rPr>
                  </w:pPr>
                  <w:r>
                    <w:rPr>
                      <w:rFonts w:hint="default" w:ascii="Times New Roman" w:hAnsi="Times New Roman" w:cs="Times New Roman"/>
                      <w:sz w:val="18"/>
                      <w:szCs w:val="18"/>
                    </w:rPr>
                    <w:t>150 μg/m</w:t>
                  </w:r>
                  <w:r>
                    <w:rPr>
                      <w:rFonts w:hint="default" w:ascii="Times New Roman" w:hAnsi="Times New Roman" w:cs="Times New Roman"/>
                      <w:sz w:val="18"/>
                      <w:szCs w:val="18"/>
                      <w:vertAlign w:val="superscript"/>
                    </w:rPr>
                    <w:t>3</w:t>
                  </w:r>
                </w:p>
              </w:tc>
              <w:tc>
                <w:tcPr>
                  <w:tcW w:w="2900" w:type="dxa"/>
                  <w:vMerge w:val="continue"/>
                  <w:vAlign w:val="center"/>
                </w:tcPr>
                <w:p w14:paraId="57C88EEE">
                  <w:pPr>
                    <w:pStyle w:val="29"/>
                    <w:rPr>
                      <w:rFonts w:hint="default" w:ascii="Times New Roman" w:hAnsi="Times New Roman" w:cs="Times New Roman"/>
                      <w:sz w:val="18"/>
                      <w:szCs w:val="18"/>
                    </w:rPr>
                  </w:pPr>
                </w:p>
              </w:tc>
            </w:tr>
            <w:tr w14:paraId="024F3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25C80AE8">
                  <w:pPr>
                    <w:widowControl w:val="0"/>
                    <w:spacing w:line="240" w:lineRule="auto"/>
                    <w:ind w:firstLine="360" w:firstLineChars="200"/>
                    <w:rPr>
                      <w:rFonts w:hint="default" w:ascii="Times New Roman" w:hAnsi="Times New Roman" w:cs="Times New Roman"/>
                      <w:sz w:val="18"/>
                      <w:szCs w:val="18"/>
                      <w:lang w:val="en-US" w:eastAsia="zh-CN"/>
                    </w:rPr>
                  </w:pPr>
                  <w:r>
                    <w:rPr>
                      <w:rFonts w:hint="default" w:ascii="Times New Roman" w:hAnsi="Times New Roman" w:cs="Times New Roman"/>
                      <w:sz w:val="18"/>
                      <w:szCs w:val="18"/>
                    </w:rPr>
                    <w:t>CO</w:t>
                  </w:r>
                </w:p>
              </w:tc>
              <w:tc>
                <w:tcPr>
                  <w:tcW w:w="2033" w:type="dxa"/>
                  <w:vAlign w:val="center"/>
                </w:tcPr>
                <w:p w14:paraId="4CD06F0F">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年平均</w:t>
                  </w:r>
                </w:p>
              </w:tc>
              <w:tc>
                <w:tcPr>
                  <w:tcW w:w="1981" w:type="dxa"/>
                  <w:vAlign w:val="center"/>
                </w:tcPr>
                <w:p w14:paraId="5BD0C1D3">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4mg/m</w:t>
                  </w:r>
                  <w:r>
                    <w:rPr>
                      <w:rFonts w:hint="default" w:ascii="Times New Roman" w:hAnsi="Times New Roman" w:cs="Times New Roman"/>
                      <w:sz w:val="18"/>
                      <w:szCs w:val="18"/>
                      <w:vertAlign w:val="superscript"/>
                    </w:rPr>
                    <w:t>3</w:t>
                  </w:r>
                </w:p>
              </w:tc>
              <w:tc>
                <w:tcPr>
                  <w:tcW w:w="2900" w:type="dxa"/>
                  <w:vMerge w:val="continue"/>
                  <w:vAlign w:val="center"/>
                </w:tcPr>
                <w:p w14:paraId="2CF0E4CD">
                  <w:pPr>
                    <w:pStyle w:val="29"/>
                    <w:rPr>
                      <w:rFonts w:hint="default" w:ascii="Times New Roman" w:hAnsi="Times New Roman" w:cs="Times New Roman"/>
                      <w:sz w:val="18"/>
                      <w:szCs w:val="18"/>
                    </w:rPr>
                  </w:pPr>
                </w:p>
              </w:tc>
            </w:tr>
            <w:tr w14:paraId="35177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5FCB67CB">
                  <w:pPr>
                    <w:pStyle w:val="29"/>
                    <w:rPr>
                      <w:rFonts w:hint="default" w:ascii="Times New Roman" w:hAnsi="Times New Roman" w:cs="Times New Roman"/>
                      <w:sz w:val="18"/>
                      <w:szCs w:val="18"/>
                    </w:rPr>
                  </w:pPr>
                </w:p>
              </w:tc>
              <w:tc>
                <w:tcPr>
                  <w:tcW w:w="2033" w:type="dxa"/>
                  <w:vAlign w:val="center"/>
                </w:tcPr>
                <w:p w14:paraId="67C7F2CC">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24小时平均</w:t>
                  </w:r>
                </w:p>
              </w:tc>
              <w:tc>
                <w:tcPr>
                  <w:tcW w:w="1981" w:type="dxa"/>
                  <w:vAlign w:val="center"/>
                </w:tcPr>
                <w:p w14:paraId="4588D582">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10mg/m</w:t>
                  </w:r>
                  <w:r>
                    <w:rPr>
                      <w:rFonts w:hint="default" w:ascii="Times New Roman" w:hAnsi="Times New Roman" w:cs="Times New Roman"/>
                      <w:sz w:val="18"/>
                      <w:szCs w:val="18"/>
                      <w:vertAlign w:val="superscript"/>
                    </w:rPr>
                    <w:t>3</w:t>
                  </w:r>
                </w:p>
              </w:tc>
              <w:tc>
                <w:tcPr>
                  <w:tcW w:w="2900" w:type="dxa"/>
                  <w:vMerge w:val="continue"/>
                  <w:vAlign w:val="center"/>
                </w:tcPr>
                <w:p w14:paraId="3A7F33EC">
                  <w:pPr>
                    <w:pStyle w:val="29"/>
                    <w:rPr>
                      <w:rFonts w:hint="default" w:ascii="Times New Roman" w:hAnsi="Times New Roman" w:cs="Times New Roman"/>
                      <w:sz w:val="18"/>
                      <w:szCs w:val="18"/>
                    </w:rPr>
                  </w:pPr>
                </w:p>
              </w:tc>
            </w:tr>
            <w:tr w14:paraId="3A948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37E1E787">
                  <w:pPr>
                    <w:widowControl w:val="0"/>
                    <w:spacing w:line="240" w:lineRule="auto"/>
                    <w:ind w:firstLine="360" w:firstLineChars="200"/>
                    <w:rPr>
                      <w:rFonts w:hint="default" w:ascii="Times New Roman" w:hAnsi="Times New Roman" w:cs="Times New Roman"/>
                      <w:sz w:val="18"/>
                      <w:szCs w:val="18"/>
                      <w:lang w:val="en-US" w:eastAsia="zh-CN"/>
                    </w:rPr>
                  </w:pP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3</w:t>
                  </w:r>
                </w:p>
              </w:tc>
              <w:tc>
                <w:tcPr>
                  <w:tcW w:w="2033" w:type="dxa"/>
                  <w:vAlign w:val="center"/>
                </w:tcPr>
                <w:p w14:paraId="26EA4079">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日最大8小时平均</w:t>
                  </w:r>
                </w:p>
              </w:tc>
              <w:tc>
                <w:tcPr>
                  <w:tcW w:w="1981" w:type="dxa"/>
                  <w:vAlign w:val="center"/>
                </w:tcPr>
                <w:p w14:paraId="7EE6FE96">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160μg/m</w:t>
                  </w:r>
                  <w:r>
                    <w:rPr>
                      <w:rFonts w:hint="default" w:ascii="Times New Roman" w:hAnsi="Times New Roman" w:cs="Times New Roman"/>
                      <w:sz w:val="18"/>
                      <w:szCs w:val="18"/>
                      <w:vertAlign w:val="superscript"/>
                    </w:rPr>
                    <w:t>3</w:t>
                  </w:r>
                </w:p>
              </w:tc>
              <w:tc>
                <w:tcPr>
                  <w:tcW w:w="2900" w:type="dxa"/>
                  <w:vMerge w:val="continue"/>
                  <w:vAlign w:val="center"/>
                </w:tcPr>
                <w:p w14:paraId="67903098">
                  <w:pPr>
                    <w:pStyle w:val="29"/>
                    <w:rPr>
                      <w:rFonts w:hint="default" w:ascii="Times New Roman" w:hAnsi="Times New Roman" w:cs="Times New Roman"/>
                      <w:sz w:val="18"/>
                      <w:szCs w:val="18"/>
                    </w:rPr>
                  </w:pPr>
                </w:p>
              </w:tc>
            </w:tr>
            <w:tr w14:paraId="18B2B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6FE3C645">
                  <w:pPr>
                    <w:pStyle w:val="29"/>
                    <w:rPr>
                      <w:rFonts w:hint="default" w:ascii="Times New Roman" w:hAnsi="Times New Roman" w:cs="Times New Roman"/>
                      <w:sz w:val="18"/>
                      <w:szCs w:val="18"/>
                    </w:rPr>
                  </w:pPr>
                </w:p>
              </w:tc>
              <w:tc>
                <w:tcPr>
                  <w:tcW w:w="2033" w:type="dxa"/>
                  <w:vAlign w:val="center"/>
                </w:tcPr>
                <w:p w14:paraId="3BF0A04F">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1小时平均</w:t>
                  </w:r>
                </w:p>
              </w:tc>
              <w:tc>
                <w:tcPr>
                  <w:tcW w:w="1981" w:type="dxa"/>
                  <w:vAlign w:val="center"/>
                </w:tcPr>
                <w:p w14:paraId="3FC5813B">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200μg/m</w:t>
                  </w:r>
                  <w:r>
                    <w:rPr>
                      <w:rFonts w:hint="default" w:ascii="Times New Roman" w:hAnsi="Times New Roman" w:cs="Times New Roman"/>
                      <w:sz w:val="18"/>
                      <w:szCs w:val="18"/>
                      <w:vertAlign w:val="superscript"/>
                    </w:rPr>
                    <w:t>3</w:t>
                  </w:r>
                </w:p>
              </w:tc>
              <w:tc>
                <w:tcPr>
                  <w:tcW w:w="2900" w:type="dxa"/>
                  <w:vMerge w:val="continue"/>
                  <w:vAlign w:val="center"/>
                </w:tcPr>
                <w:p w14:paraId="3451068A">
                  <w:pPr>
                    <w:pStyle w:val="29"/>
                    <w:rPr>
                      <w:rFonts w:hint="default" w:ascii="Times New Roman" w:hAnsi="Times New Roman" w:cs="Times New Roman"/>
                      <w:sz w:val="18"/>
                      <w:szCs w:val="18"/>
                    </w:rPr>
                  </w:pPr>
                </w:p>
              </w:tc>
            </w:tr>
            <w:tr w14:paraId="35769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732ECD82">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PM</w:t>
                  </w:r>
                  <w:r>
                    <w:rPr>
                      <w:rFonts w:hint="default" w:ascii="Times New Roman" w:hAnsi="Times New Roman" w:cs="Times New Roman"/>
                      <w:sz w:val="18"/>
                      <w:szCs w:val="18"/>
                      <w:vertAlign w:val="subscript"/>
                      <w:lang w:val="en-US" w:eastAsia="zh-CN"/>
                    </w:rPr>
                    <w:t>2.5</w:t>
                  </w:r>
                </w:p>
              </w:tc>
              <w:tc>
                <w:tcPr>
                  <w:tcW w:w="2033" w:type="dxa"/>
                  <w:vAlign w:val="center"/>
                </w:tcPr>
                <w:p w14:paraId="50569C6C">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年平均</w:t>
                  </w:r>
                </w:p>
              </w:tc>
              <w:tc>
                <w:tcPr>
                  <w:tcW w:w="1981" w:type="dxa"/>
                  <w:vAlign w:val="center"/>
                </w:tcPr>
                <w:p w14:paraId="55D9D01A">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35μg/m</w:t>
                  </w:r>
                  <w:r>
                    <w:rPr>
                      <w:rFonts w:hint="default" w:ascii="Times New Roman" w:hAnsi="Times New Roman" w:cs="Times New Roman"/>
                      <w:sz w:val="18"/>
                      <w:szCs w:val="18"/>
                      <w:vertAlign w:val="superscript"/>
                    </w:rPr>
                    <w:t>3</w:t>
                  </w:r>
                </w:p>
              </w:tc>
              <w:tc>
                <w:tcPr>
                  <w:tcW w:w="2900" w:type="dxa"/>
                  <w:vMerge w:val="continue"/>
                  <w:vAlign w:val="center"/>
                </w:tcPr>
                <w:p w14:paraId="082269E6">
                  <w:pPr>
                    <w:pStyle w:val="29"/>
                    <w:rPr>
                      <w:rFonts w:hint="default" w:ascii="Times New Roman" w:hAnsi="Times New Roman" w:cs="Times New Roman"/>
                      <w:sz w:val="18"/>
                      <w:szCs w:val="18"/>
                    </w:rPr>
                  </w:pPr>
                </w:p>
              </w:tc>
            </w:tr>
            <w:tr w14:paraId="049B7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07DCDA77">
                  <w:pPr>
                    <w:pStyle w:val="29"/>
                    <w:rPr>
                      <w:rFonts w:hint="default" w:ascii="Times New Roman" w:hAnsi="Times New Roman" w:cs="Times New Roman"/>
                      <w:sz w:val="18"/>
                      <w:szCs w:val="18"/>
                    </w:rPr>
                  </w:pPr>
                </w:p>
              </w:tc>
              <w:tc>
                <w:tcPr>
                  <w:tcW w:w="2033" w:type="dxa"/>
                  <w:vAlign w:val="center"/>
                </w:tcPr>
                <w:p w14:paraId="5D836D77">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24小时平均</w:t>
                  </w:r>
                </w:p>
              </w:tc>
              <w:tc>
                <w:tcPr>
                  <w:tcW w:w="1981" w:type="dxa"/>
                  <w:vAlign w:val="center"/>
                </w:tcPr>
                <w:p w14:paraId="6916F577">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75μg/m</w:t>
                  </w:r>
                  <w:r>
                    <w:rPr>
                      <w:rFonts w:hint="default" w:ascii="Times New Roman" w:hAnsi="Times New Roman" w:cs="Times New Roman"/>
                      <w:sz w:val="18"/>
                      <w:szCs w:val="18"/>
                      <w:vertAlign w:val="superscript"/>
                    </w:rPr>
                    <w:t>3</w:t>
                  </w:r>
                </w:p>
              </w:tc>
              <w:tc>
                <w:tcPr>
                  <w:tcW w:w="2900" w:type="dxa"/>
                  <w:vMerge w:val="continue"/>
                  <w:vAlign w:val="center"/>
                </w:tcPr>
                <w:p w14:paraId="327C88A4">
                  <w:pPr>
                    <w:pStyle w:val="29"/>
                    <w:rPr>
                      <w:rFonts w:hint="default" w:ascii="Times New Roman" w:hAnsi="Times New Roman" w:cs="Times New Roman"/>
                      <w:sz w:val="18"/>
                      <w:szCs w:val="18"/>
                    </w:rPr>
                  </w:pPr>
                </w:p>
              </w:tc>
            </w:tr>
            <w:tr w14:paraId="1FD62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restart"/>
                  <w:vAlign w:val="center"/>
                </w:tcPr>
                <w:p w14:paraId="052661A4">
                  <w:pPr>
                    <w:pStyle w:val="29"/>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总悬浮颗粒物（</w:t>
                  </w:r>
                  <w:r>
                    <w:rPr>
                      <w:rFonts w:hint="default" w:ascii="Times New Roman" w:hAnsi="Times New Roman" w:cs="Times New Roman"/>
                      <w:sz w:val="18"/>
                      <w:szCs w:val="18"/>
                      <w:lang w:val="en-US" w:eastAsia="zh-CN"/>
                    </w:rPr>
                    <w:t>TSP</w:t>
                  </w:r>
                  <w:r>
                    <w:rPr>
                      <w:rFonts w:hint="default" w:ascii="Times New Roman" w:hAnsi="Times New Roman" w:cs="Times New Roman"/>
                      <w:sz w:val="18"/>
                      <w:szCs w:val="18"/>
                      <w:lang w:eastAsia="zh-CN"/>
                    </w:rPr>
                    <w:t>）</w:t>
                  </w:r>
                </w:p>
              </w:tc>
              <w:tc>
                <w:tcPr>
                  <w:tcW w:w="2033" w:type="dxa"/>
                  <w:vAlign w:val="center"/>
                </w:tcPr>
                <w:p w14:paraId="410A51A8">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年平均</w:t>
                  </w:r>
                </w:p>
              </w:tc>
              <w:tc>
                <w:tcPr>
                  <w:tcW w:w="1981" w:type="dxa"/>
                  <w:vAlign w:val="center"/>
                </w:tcPr>
                <w:p w14:paraId="397B956F">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200μg/m</w:t>
                  </w:r>
                  <w:r>
                    <w:rPr>
                      <w:rFonts w:hint="default" w:ascii="Times New Roman" w:hAnsi="Times New Roman" w:cs="Times New Roman"/>
                      <w:sz w:val="18"/>
                      <w:szCs w:val="18"/>
                      <w:vertAlign w:val="superscript"/>
                    </w:rPr>
                    <w:t>3</w:t>
                  </w:r>
                </w:p>
              </w:tc>
              <w:tc>
                <w:tcPr>
                  <w:tcW w:w="2900" w:type="dxa"/>
                  <w:vMerge w:val="continue"/>
                  <w:vAlign w:val="center"/>
                </w:tcPr>
                <w:p w14:paraId="0CA63CE1">
                  <w:pPr>
                    <w:pStyle w:val="29"/>
                    <w:rPr>
                      <w:rFonts w:hint="default" w:ascii="Times New Roman" w:hAnsi="Times New Roman" w:cs="Times New Roman"/>
                      <w:sz w:val="18"/>
                      <w:szCs w:val="18"/>
                    </w:rPr>
                  </w:pPr>
                </w:p>
              </w:tc>
            </w:tr>
            <w:tr w14:paraId="0DE87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Merge w:val="continue"/>
                  <w:vAlign w:val="center"/>
                </w:tcPr>
                <w:p w14:paraId="45B7F2C1">
                  <w:pPr>
                    <w:pStyle w:val="29"/>
                    <w:rPr>
                      <w:rFonts w:hint="default" w:ascii="Times New Roman" w:hAnsi="Times New Roman" w:cs="Times New Roman"/>
                      <w:sz w:val="18"/>
                      <w:szCs w:val="18"/>
                    </w:rPr>
                  </w:pPr>
                </w:p>
              </w:tc>
              <w:tc>
                <w:tcPr>
                  <w:tcW w:w="2033" w:type="dxa"/>
                  <w:vAlign w:val="center"/>
                </w:tcPr>
                <w:p w14:paraId="4B4563F8">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24小时平均</w:t>
                  </w:r>
                </w:p>
              </w:tc>
              <w:tc>
                <w:tcPr>
                  <w:tcW w:w="1981" w:type="dxa"/>
                  <w:vAlign w:val="center"/>
                </w:tcPr>
                <w:p w14:paraId="701C7223">
                  <w:pPr>
                    <w:pStyle w:val="29"/>
                    <w:rPr>
                      <w:rFonts w:hint="default" w:ascii="Times New Roman" w:hAnsi="Times New Roman" w:cs="Times New Roman"/>
                      <w:sz w:val="18"/>
                      <w:szCs w:val="18"/>
                      <w:lang w:val="en-US" w:eastAsia="zh-CN"/>
                    </w:rPr>
                  </w:pPr>
                  <w:r>
                    <w:rPr>
                      <w:rFonts w:hint="default" w:ascii="Times New Roman" w:hAnsi="Times New Roman" w:cs="Times New Roman"/>
                      <w:sz w:val="18"/>
                      <w:szCs w:val="18"/>
                    </w:rPr>
                    <w:t>300μg/m</w:t>
                  </w:r>
                  <w:r>
                    <w:rPr>
                      <w:rFonts w:hint="default" w:ascii="Times New Roman" w:hAnsi="Times New Roman" w:cs="Times New Roman"/>
                      <w:sz w:val="18"/>
                      <w:szCs w:val="18"/>
                      <w:vertAlign w:val="superscript"/>
                    </w:rPr>
                    <w:t>3</w:t>
                  </w:r>
                </w:p>
              </w:tc>
              <w:tc>
                <w:tcPr>
                  <w:tcW w:w="2900" w:type="dxa"/>
                  <w:vMerge w:val="continue"/>
                  <w:vAlign w:val="center"/>
                </w:tcPr>
                <w:p w14:paraId="188F1364">
                  <w:pPr>
                    <w:pStyle w:val="29"/>
                    <w:rPr>
                      <w:rFonts w:hint="default" w:ascii="Times New Roman" w:hAnsi="Times New Roman" w:cs="Times New Roman"/>
                      <w:sz w:val="18"/>
                      <w:szCs w:val="18"/>
                    </w:rPr>
                  </w:pPr>
                </w:p>
              </w:tc>
            </w:tr>
            <w:tr w14:paraId="41CB5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Align w:val="center"/>
                </w:tcPr>
                <w:p w14:paraId="55B934B5">
                  <w:pPr>
                    <w:pStyle w:val="29"/>
                    <w:rPr>
                      <w:rFonts w:hint="default" w:ascii="Times New Roman" w:hAnsi="Times New Roman" w:cs="Times New Roman"/>
                      <w:sz w:val="18"/>
                      <w:szCs w:val="18"/>
                    </w:rPr>
                  </w:pPr>
                  <w:r>
                    <w:rPr>
                      <w:rFonts w:hint="default" w:ascii="Times New Roman" w:hAnsi="Times New Roman" w:cs="Times New Roman"/>
                      <w:sz w:val="18"/>
                      <w:szCs w:val="18"/>
                    </w:rPr>
                    <w:t>非甲烷总烃</w:t>
                  </w:r>
                </w:p>
              </w:tc>
              <w:tc>
                <w:tcPr>
                  <w:tcW w:w="2033" w:type="dxa"/>
                  <w:vAlign w:val="center"/>
                </w:tcPr>
                <w:p w14:paraId="46FA1EF6">
                  <w:pPr>
                    <w:pStyle w:val="29"/>
                    <w:rPr>
                      <w:rFonts w:hint="default" w:ascii="Times New Roman" w:hAnsi="Times New Roman" w:cs="Times New Roman"/>
                      <w:sz w:val="18"/>
                      <w:szCs w:val="18"/>
                    </w:rPr>
                  </w:pPr>
                  <w:r>
                    <w:rPr>
                      <w:rFonts w:hint="default" w:ascii="Times New Roman" w:hAnsi="Times New Roman" w:cs="Times New Roman"/>
                      <w:sz w:val="18"/>
                      <w:szCs w:val="18"/>
                    </w:rPr>
                    <w:t>小时平均</w:t>
                  </w:r>
                </w:p>
              </w:tc>
              <w:tc>
                <w:tcPr>
                  <w:tcW w:w="1981" w:type="dxa"/>
                  <w:vAlign w:val="center"/>
                </w:tcPr>
                <w:p w14:paraId="761656F8">
                  <w:pPr>
                    <w:pStyle w:val="29"/>
                    <w:rPr>
                      <w:rFonts w:hint="default" w:ascii="Times New Roman" w:hAnsi="Times New Roman" w:cs="Times New Roman"/>
                      <w:sz w:val="18"/>
                      <w:szCs w:val="18"/>
                    </w:rPr>
                  </w:pPr>
                  <w:r>
                    <w:rPr>
                      <w:rFonts w:hint="default" w:ascii="Times New Roman" w:hAnsi="Times New Roman" w:cs="Times New Roman"/>
                      <w:sz w:val="18"/>
                      <w:szCs w:val="18"/>
                    </w:rPr>
                    <w:t>2.0mg/m</w:t>
                  </w:r>
                  <w:r>
                    <w:rPr>
                      <w:rFonts w:hint="default" w:ascii="Times New Roman" w:hAnsi="Times New Roman" w:cs="Times New Roman"/>
                      <w:sz w:val="18"/>
                      <w:szCs w:val="18"/>
                      <w:vertAlign w:val="superscript"/>
                    </w:rPr>
                    <w:t>3</w:t>
                  </w:r>
                </w:p>
              </w:tc>
              <w:tc>
                <w:tcPr>
                  <w:tcW w:w="2900" w:type="dxa"/>
                  <w:vAlign w:val="center"/>
                </w:tcPr>
                <w:p w14:paraId="7B94CB42">
                  <w:pPr>
                    <w:pStyle w:val="29"/>
                    <w:rPr>
                      <w:rFonts w:hint="default" w:ascii="Times New Roman" w:hAnsi="Times New Roman" w:cs="Times New Roman"/>
                      <w:sz w:val="18"/>
                      <w:szCs w:val="18"/>
                    </w:rPr>
                  </w:pPr>
                  <w:r>
                    <w:rPr>
                      <w:rFonts w:hint="default" w:ascii="Times New Roman" w:hAnsi="Times New Roman" w:cs="Times New Roman"/>
                      <w:sz w:val="18"/>
                      <w:szCs w:val="18"/>
                    </w:rPr>
                    <w:t>《大气污染物综合排放标准详解》</w:t>
                  </w:r>
                </w:p>
              </w:tc>
            </w:tr>
            <w:tr w14:paraId="6832E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Align w:val="center"/>
                </w:tcPr>
                <w:p w14:paraId="542DF282">
                  <w:pPr>
                    <w:topLinePunct/>
                    <w:autoSpaceDE w:val="0"/>
                    <w:adjustRightInd w:val="0"/>
                    <w:snapToGrid w:val="0"/>
                    <w:spacing w:line="300" w:lineRule="exact"/>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甲苯</w:t>
                  </w:r>
                </w:p>
              </w:tc>
              <w:tc>
                <w:tcPr>
                  <w:tcW w:w="2033" w:type="dxa"/>
                  <w:vAlign w:val="center"/>
                </w:tcPr>
                <w:p w14:paraId="2A688FCB">
                  <w:pPr>
                    <w:topLinePunct/>
                    <w:autoSpaceDE w:val="0"/>
                    <w:adjustRightInd w:val="0"/>
                    <w:snapToGrid w:val="0"/>
                    <w:spacing w:line="300" w:lineRule="exact"/>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1小时平均</w:t>
                  </w:r>
                </w:p>
              </w:tc>
              <w:tc>
                <w:tcPr>
                  <w:tcW w:w="1981" w:type="dxa"/>
                  <w:vAlign w:val="center"/>
                </w:tcPr>
                <w:p w14:paraId="749AEA6D">
                  <w:pPr>
                    <w:topLinePunct/>
                    <w:adjustRightInd w:val="0"/>
                    <w:snapToGrid w:val="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200μg/m</w:t>
                  </w:r>
                  <w:r>
                    <w:rPr>
                      <w:rFonts w:hint="default" w:ascii="Times New Roman" w:hAnsi="Times New Roman" w:cs="Times New Roman"/>
                      <w:sz w:val="18"/>
                      <w:szCs w:val="18"/>
                      <w:vertAlign w:val="superscript"/>
                    </w:rPr>
                    <w:t>3</w:t>
                  </w:r>
                </w:p>
              </w:tc>
              <w:tc>
                <w:tcPr>
                  <w:tcW w:w="2900" w:type="dxa"/>
                  <w:vMerge w:val="restart"/>
                  <w:vAlign w:val="center"/>
                </w:tcPr>
                <w:p w14:paraId="402E776D">
                  <w:pPr>
                    <w:pStyle w:val="29"/>
                    <w:rPr>
                      <w:rFonts w:hint="default" w:ascii="Times New Roman" w:hAnsi="Times New Roman" w:cs="Times New Roman"/>
                      <w:sz w:val="18"/>
                      <w:szCs w:val="18"/>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环境影响评价技术导则 大气环境</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附录D</w:t>
                  </w:r>
                </w:p>
              </w:tc>
            </w:tr>
            <w:tr w14:paraId="7D29A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5" w:type="dxa"/>
                  <w:vAlign w:val="center"/>
                </w:tcPr>
                <w:p w14:paraId="294EE63E">
                  <w:pPr>
                    <w:topLinePunct/>
                    <w:autoSpaceDE w:val="0"/>
                    <w:adjustRightInd w:val="0"/>
                    <w:snapToGrid w:val="0"/>
                    <w:spacing w:line="300" w:lineRule="exact"/>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二甲苯</w:t>
                  </w:r>
                </w:p>
              </w:tc>
              <w:tc>
                <w:tcPr>
                  <w:tcW w:w="2033" w:type="dxa"/>
                  <w:vAlign w:val="center"/>
                </w:tcPr>
                <w:p w14:paraId="6D31B6E8">
                  <w:pPr>
                    <w:topLinePunct/>
                    <w:autoSpaceDE w:val="0"/>
                    <w:adjustRightInd w:val="0"/>
                    <w:snapToGrid w:val="0"/>
                    <w:spacing w:line="300" w:lineRule="exact"/>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1小时平均</w:t>
                  </w:r>
                </w:p>
              </w:tc>
              <w:tc>
                <w:tcPr>
                  <w:tcW w:w="1981" w:type="dxa"/>
                  <w:vAlign w:val="center"/>
                </w:tcPr>
                <w:p w14:paraId="54CC9CA7">
                  <w:pPr>
                    <w:topLinePunct/>
                    <w:adjustRightInd w:val="0"/>
                    <w:snapToGrid w:val="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200μg/m</w:t>
                  </w:r>
                  <w:r>
                    <w:rPr>
                      <w:rFonts w:hint="default" w:ascii="Times New Roman" w:hAnsi="Times New Roman" w:cs="Times New Roman"/>
                      <w:sz w:val="18"/>
                      <w:szCs w:val="18"/>
                      <w:vertAlign w:val="superscript"/>
                    </w:rPr>
                    <w:t>3</w:t>
                  </w:r>
                </w:p>
              </w:tc>
              <w:tc>
                <w:tcPr>
                  <w:tcW w:w="2900" w:type="dxa"/>
                  <w:vMerge w:val="continue"/>
                  <w:vAlign w:val="center"/>
                </w:tcPr>
                <w:p w14:paraId="5F003867">
                  <w:pPr>
                    <w:pStyle w:val="29"/>
                    <w:rPr>
                      <w:rFonts w:hint="default" w:ascii="Times New Roman" w:hAnsi="Times New Roman" w:cs="Times New Roman"/>
                      <w:sz w:val="18"/>
                      <w:szCs w:val="18"/>
                    </w:rPr>
                  </w:pPr>
                </w:p>
              </w:tc>
            </w:tr>
          </w:tbl>
          <w:p w14:paraId="7E8DF26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莆田市生态环境局发布的《2023年莆田市环境质量状况》，莆田市区：2023年有效监测365天，达标天数比例为96.4%，同比下降0.9个百分点。其中一级、二级和轻度污染天数比例分别为51.0%（同比下降9.0个百分点）、45.5%（同比上升8.2个百分点）和3.6％（同比上升0.8个百分点，共超13天，其中可吸入颗粒物超1天，细颗粒物超3天，臭氧超9天）。</w:t>
            </w:r>
          </w:p>
          <w:p w14:paraId="7025FBEE">
            <w:pPr>
              <w:widowControl w:val="0"/>
              <w:wordWrap/>
              <w:adjustRightInd w:val="0"/>
              <w:snapToGrid w:val="0"/>
              <w:spacing w:line="360" w:lineRule="auto"/>
              <w:ind w:firstLine="420" w:firstLineChars="200"/>
              <w:jc w:val="left"/>
              <w:textAlignment w:val="auto"/>
              <w:rPr>
                <w:rFonts w:hint="default" w:ascii="Times New Roman" w:hAnsi="Times New Roman" w:cs="Times New Roman"/>
                <w:lang w:val="en-US" w:eastAsia="zh-CN"/>
              </w:rPr>
            </w:pPr>
            <w:r>
              <w:rPr>
                <w:rFonts w:hint="default" w:ascii="Times New Roman" w:hAnsi="Times New Roman" w:eastAsia="宋体" w:cs="Times New Roman"/>
                <w:kern w:val="2"/>
                <w:sz w:val="21"/>
                <w:szCs w:val="24"/>
                <w:lang w:val="en-US" w:eastAsia="zh-CN" w:bidi="ar-SA"/>
              </w:rPr>
              <w:t>莆田市区：2023年二氧化硫、可吸入颗粒物年均浓度分别为7、36微克/立方米，同比分别上升1、4微克/立方米；二氧化氮、细颗粒物年均浓度分别为13、20微克/立方米，一氧化碳特定百分位为0.8毫克/立方米，同比持平；臭氧特定百分位为137微克/立方米，同比下降3微克/立方米。6个项目均达到环境空气质量二级标准要求。全年的首要污染物中，臭氧占156天（同比增加25天），细颗粒物占14天（同比增加3天），可吸入颗粒物占9天（同比增加5天）。</w:t>
            </w:r>
          </w:p>
          <w:p w14:paraId="4451BCBF">
            <w:pPr>
              <w:spacing w:line="36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根据</w:t>
            </w:r>
            <w:r>
              <w:rPr>
                <w:rFonts w:hint="default" w:ascii="Times New Roman" w:hAnsi="Times New Roman" w:cs="Times New Roman"/>
              </w:rPr>
              <w:t>《2024年8月份莆田市各县区环境空气质量排名情况》</w:t>
            </w:r>
            <w:r>
              <w:rPr>
                <w:rFonts w:hint="default" w:ascii="Times New Roman" w:hAnsi="Times New Roman" w:cs="Times New Roman"/>
                <w:lang w:eastAsia="zh-CN"/>
              </w:rPr>
              <w:t>（</w:t>
            </w:r>
            <w:r>
              <w:rPr>
                <w:rFonts w:hint="default" w:ascii="Times New Roman" w:hAnsi="Times New Roman" w:cs="Times New Roman"/>
                <w:lang w:val="en-US" w:eastAsia="zh-CN"/>
              </w:rPr>
              <w:t>莆田市生态环境局，202</w:t>
            </w:r>
            <w:r>
              <w:rPr>
                <w:rFonts w:hint="eastAsia" w:cs="Times New Roman"/>
                <w:lang w:val="en-US" w:eastAsia="zh-CN"/>
              </w:rPr>
              <w:t>4</w:t>
            </w:r>
            <w:r>
              <w:rPr>
                <w:rFonts w:hint="default" w:ascii="Times New Roman" w:hAnsi="Times New Roman" w:cs="Times New Roman"/>
                <w:lang w:val="en-US" w:eastAsia="zh-CN"/>
              </w:rPr>
              <w:t>年</w:t>
            </w:r>
            <w:r>
              <w:rPr>
                <w:rFonts w:hint="eastAsia" w:cs="Times New Roman"/>
                <w:lang w:val="en-US" w:eastAsia="zh-CN"/>
              </w:rPr>
              <w:t>9</w:t>
            </w:r>
            <w:r>
              <w:rPr>
                <w:rFonts w:hint="default" w:ascii="Times New Roman" w:hAnsi="Times New Roman" w:cs="Times New Roman"/>
                <w:lang w:val="en-US" w:eastAsia="zh-CN"/>
              </w:rPr>
              <w:t>月</w:t>
            </w:r>
            <w:r>
              <w:rPr>
                <w:rFonts w:hint="eastAsia" w:cs="Times New Roman"/>
                <w:lang w:val="en-US" w:eastAsia="zh-CN"/>
              </w:rPr>
              <w:t>14</w:t>
            </w:r>
            <w:r>
              <w:rPr>
                <w:rFonts w:hint="default" w:ascii="Times New Roman" w:hAnsi="Times New Roman" w:cs="Times New Roman"/>
                <w:lang w:val="en-US" w:eastAsia="zh-CN"/>
              </w:rPr>
              <w:t>日</w:t>
            </w:r>
            <w:r>
              <w:rPr>
                <w:rFonts w:hint="default" w:ascii="Times New Roman" w:hAnsi="Times New Roman" w:cs="Times New Roman"/>
                <w:lang w:eastAsia="zh-CN"/>
              </w:rPr>
              <w:t>）</w:t>
            </w:r>
            <w:r>
              <w:rPr>
                <w:rFonts w:hint="default" w:ascii="Times New Roman" w:hAnsi="Times New Roman" w:cs="Times New Roman"/>
                <w:lang w:val="en-US" w:eastAsia="zh-CN"/>
              </w:rPr>
              <w:t>秀屿区</w:t>
            </w:r>
            <w:r>
              <w:rPr>
                <w:rFonts w:hint="eastAsia" w:cs="Times New Roman"/>
                <w:lang w:val="en-US" w:eastAsia="zh-CN"/>
              </w:rPr>
              <w:t>8</w:t>
            </w:r>
            <w:r>
              <w:rPr>
                <w:rFonts w:hint="default" w:ascii="Times New Roman" w:hAnsi="Times New Roman" w:cs="Times New Roman"/>
                <w:lang w:val="en-US" w:eastAsia="zh-CN"/>
              </w:rPr>
              <w:t>月份空气质量可达到国家环境空气质量二级标准，具体见表3-2</w:t>
            </w:r>
          </w:p>
          <w:p w14:paraId="46E431AD">
            <w:pPr>
              <w:widowControl w:val="0"/>
              <w:wordWrap/>
              <w:adjustRightInd/>
              <w:snapToGrid/>
              <w:spacing w:line="360" w:lineRule="auto"/>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表3-2</w:t>
            </w:r>
            <w:r>
              <w:rPr>
                <w:rFonts w:hint="eastAsia" w:cs="Times New Roman"/>
                <w:b/>
                <w:bCs/>
                <w:lang w:val="en-US" w:eastAsia="zh-CN"/>
              </w:rPr>
              <w:t xml:space="preserve">  </w:t>
            </w:r>
            <w:r>
              <w:rPr>
                <w:rFonts w:hint="default" w:ascii="Times New Roman" w:hAnsi="Times New Roman" w:cs="Times New Roman"/>
                <w:b/>
                <w:bCs/>
                <w:lang w:val="en-US" w:eastAsia="zh-CN"/>
              </w:rPr>
              <w:t>秀屿区</w:t>
            </w:r>
            <w:r>
              <w:rPr>
                <w:rFonts w:hint="eastAsia" w:cs="Times New Roman"/>
                <w:b/>
                <w:bCs/>
                <w:lang w:val="en-US" w:eastAsia="zh-CN"/>
              </w:rPr>
              <w:t>2024年8</w:t>
            </w:r>
            <w:r>
              <w:rPr>
                <w:rFonts w:hint="default" w:ascii="Times New Roman" w:hAnsi="Times New Roman" w:cs="Times New Roman"/>
                <w:b/>
                <w:bCs/>
                <w:lang w:val="en-US" w:eastAsia="zh-CN"/>
              </w:rPr>
              <w:t>月份环境空气质量情况一览表</w:t>
            </w:r>
          </w:p>
          <w:tbl>
            <w:tblPr>
              <w:tblStyle w:val="17"/>
              <w:tblW w:w="81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553"/>
              <w:gridCol w:w="588"/>
              <w:gridCol w:w="656"/>
              <w:gridCol w:w="690"/>
              <w:gridCol w:w="962"/>
              <w:gridCol w:w="1170"/>
              <w:gridCol w:w="584"/>
              <w:gridCol w:w="426"/>
              <w:gridCol w:w="426"/>
              <w:gridCol w:w="426"/>
              <w:gridCol w:w="766"/>
            </w:tblGrid>
            <w:tr w14:paraId="3C51B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66" w:type="dxa"/>
                  <w:vMerge w:val="restart"/>
                  <w:tcBorders>
                    <w:tl2br w:val="nil"/>
                    <w:tr2bl w:val="nil"/>
                  </w:tcBorders>
                  <w:vAlign w:val="center"/>
                </w:tcPr>
                <w:p w14:paraId="11D4700E">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县区</w:t>
                  </w:r>
                </w:p>
              </w:tc>
              <w:tc>
                <w:tcPr>
                  <w:tcW w:w="553" w:type="dxa"/>
                  <w:vMerge w:val="restart"/>
                  <w:tcBorders>
                    <w:tl2br w:val="nil"/>
                    <w:tr2bl w:val="nil"/>
                  </w:tcBorders>
                  <w:vAlign w:val="center"/>
                </w:tcPr>
                <w:p w14:paraId="5C2EC419">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SO</w:t>
                  </w:r>
                  <w:r>
                    <w:rPr>
                      <w:rFonts w:hint="default" w:ascii="Times New Roman" w:hAnsi="Times New Roman" w:cs="Times New Roman"/>
                      <w:b/>
                      <w:bCs/>
                      <w:sz w:val="18"/>
                      <w:szCs w:val="18"/>
                      <w:vertAlign w:val="subscript"/>
                      <w:lang w:val="en-US" w:eastAsia="zh-CN"/>
                    </w:rPr>
                    <w:t>2</w:t>
                  </w:r>
                </w:p>
              </w:tc>
              <w:tc>
                <w:tcPr>
                  <w:tcW w:w="588" w:type="dxa"/>
                  <w:vMerge w:val="restart"/>
                  <w:tcBorders>
                    <w:tl2br w:val="nil"/>
                    <w:tr2bl w:val="nil"/>
                  </w:tcBorders>
                  <w:vAlign w:val="center"/>
                </w:tcPr>
                <w:p w14:paraId="6CDA2643">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NO</w:t>
                  </w:r>
                  <w:r>
                    <w:rPr>
                      <w:rFonts w:hint="default" w:ascii="Times New Roman" w:hAnsi="Times New Roman" w:cs="Times New Roman"/>
                      <w:b/>
                      <w:bCs/>
                      <w:sz w:val="18"/>
                      <w:szCs w:val="18"/>
                      <w:vertAlign w:val="subscript"/>
                      <w:lang w:val="en-US" w:eastAsia="zh-CN"/>
                    </w:rPr>
                    <w:t>2</w:t>
                  </w:r>
                </w:p>
              </w:tc>
              <w:tc>
                <w:tcPr>
                  <w:tcW w:w="656" w:type="dxa"/>
                  <w:vMerge w:val="restart"/>
                  <w:tcBorders>
                    <w:tl2br w:val="nil"/>
                    <w:tr2bl w:val="nil"/>
                  </w:tcBorders>
                  <w:vAlign w:val="center"/>
                </w:tcPr>
                <w:p w14:paraId="05C2CA05">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PM</w:t>
                  </w:r>
                  <w:r>
                    <w:rPr>
                      <w:rFonts w:hint="default" w:ascii="Times New Roman" w:hAnsi="Times New Roman" w:cs="Times New Roman"/>
                      <w:b/>
                      <w:bCs/>
                      <w:sz w:val="18"/>
                      <w:szCs w:val="18"/>
                      <w:vertAlign w:val="subscript"/>
                      <w:lang w:val="en-US" w:eastAsia="zh-CN"/>
                    </w:rPr>
                    <w:t>10</w:t>
                  </w:r>
                </w:p>
              </w:tc>
              <w:tc>
                <w:tcPr>
                  <w:tcW w:w="690" w:type="dxa"/>
                  <w:vMerge w:val="restart"/>
                  <w:tcBorders>
                    <w:tl2br w:val="nil"/>
                    <w:tr2bl w:val="nil"/>
                  </w:tcBorders>
                  <w:vAlign w:val="center"/>
                </w:tcPr>
                <w:p w14:paraId="2AC0E2F4">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PM</w:t>
                  </w:r>
                  <w:r>
                    <w:rPr>
                      <w:rFonts w:hint="default" w:ascii="Times New Roman" w:hAnsi="Times New Roman" w:cs="Times New Roman"/>
                      <w:b/>
                      <w:bCs/>
                      <w:sz w:val="18"/>
                      <w:szCs w:val="18"/>
                      <w:vertAlign w:val="subscript"/>
                      <w:lang w:val="en-US" w:eastAsia="zh-CN"/>
                    </w:rPr>
                    <w:t>2.5</w:t>
                  </w:r>
                </w:p>
              </w:tc>
              <w:tc>
                <w:tcPr>
                  <w:tcW w:w="962" w:type="dxa"/>
                  <w:vMerge w:val="restart"/>
                  <w:tcBorders>
                    <w:tl2br w:val="nil"/>
                    <w:tr2bl w:val="nil"/>
                  </w:tcBorders>
                  <w:vAlign w:val="center"/>
                </w:tcPr>
                <w:p w14:paraId="627C4938">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CO-95</w:t>
                  </w:r>
                  <w:r>
                    <w:rPr>
                      <w:rFonts w:hint="default" w:ascii="Times New Roman" w:hAnsi="Times New Roman" w:cs="Times New Roman"/>
                      <w:b/>
                      <w:bCs/>
                      <w:sz w:val="18"/>
                      <w:szCs w:val="18"/>
                      <w:vertAlign w:val="subscript"/>
                      <w:lang w:val="en-US" w:eastAsia="zh-CN"/>
                    </w:rPr>
                    <w:t>per</w:t>
                  </w:r>
                </w:p>
              </w:tc>
              <w:tc>
                <w:tcPr>
                  <w:tcW w:w="1170" w:type="dxa"/>
                  <w:vMerge w:val="restart"/>
                  <w:tcBorders>
                    <w:tl2br w:val="nil"/>
                    <w:tr2bl w:val="nil"/>
                  </w:tcBorders>
                  <w:vAlign w:val="center"/>
                </w:tcPr>
                <w:p w14:paraId="1489EF9E">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O</w:t>
                  </w:r>
                  <w:r>
                    <w:rPr>
                      <w:rFonts w:hint="default" w:ascii="Times New Roman" w:hAnsi="Times New Roman" w:cs="Times New Roman"/>
                      <w:b/>
                      <w:bCs/>
                      <w:sz w:val="18"/>
                      <w:szCs w:val="18"/>
                      <w:vertAlign w:val="subscript"/>
                      <w:lang w:val="en-US" w:eastAsia="zh-CN"/>
                    </w:rPr>
                    <w:t>3</w:t>
                  </w:r>
                  <w:r>
                    <w:rPr>
                      <w:rFonts w:hint="default" w:ascii="Times New Roman" w:hAnsi="Times New Roman" w:cs="Times New Roman"/>
                      <w:b/>
                      <w:bCs/>
                      <w:sz w:val="18"/>
                      <w:szCs w:val="18"/>
                      <w:lang w:val="en-US" w:eastAsia="zh-CN"/>
                    </w:rPr>
                    <w:t>-8h-90</w:t>
                  </w:r>
                  <w:r>
                    <w:rPr>
                      <w:rFonts w:hint="default" w:ascii="Times New Roman" w:hAnsi="Times New Roman" w:cs="Times New Roman"/>
                      <w:b/>
                      <w:bCs/>
                      <w:sz w:val="18"/>
                      <w:szCs w:val="18"/>
                      <w:vertAlign w:val="subscript"/>
                      <w:lang w:val="en-US" w:eastAsia="zh-CN"/>
                    </w:rPr>
                    <w:t>per</w:t>
                  </w:r>
                </w:p>
              </w:tc>
              <w:tc>
                <w:tcPr>
                  <w:tcW w:w="584" w:type="dxa"/>
                  <w:vMerge w:val="restart"/>
                  <w:tcBorders>
                    <w:tl2br w:val="nil"/>
                    <w:tr2bl w:val="nil"/>
                  </w:tcBorders>
                  <w:vAlign w:val="center"/>
                </w:tcPr>
                <w:p w14:paraId="7E74A2A7">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达标率</w:t>
                  </w:r>
                </w:p>
              </w:tc>
              <w:tc>
                <w:tcPr>
                  <w:tcW w:w="1278" w:type="dxa"/>
                  <w:gridSpan w:val="3"/>
                  <w:tcBorders>
                    <w:tl2br w:val="nil"/>
                    <w:tr2bl w:val="nil"/>
                  </w:tcBorders>
                  <w:vAlign w:val="center"/>
                </w:tcPr>
                <w:p w14:paraId="344DD737">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天数</w:t>
                  </w:r>
                </w:p>
              </w:tc>
              <w:tc>
                <w:tcPr>
                  <w:tcW w:w="766" w:type="dxa"/>
                  <w:vMerge w:val="restart"/>
                  <w:tcBorders>
                    <w:tl2br w:val="nil"/>
                    <w:tr2bl w:val="nil"/>
                  </w:tcBorders>
                  <w:vAlign w:val="center"/>
                </w:tcPr>
                <w:p w14:paraId="2349C5CF">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首要污染物</w:t>
                  </w:r>
                </w:p>
              </w:tc>
            </w:tr>
            <w:tr w14:paraId="57D7E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66" w:type="dxa"/>
                  <w:vMerge w:val="continue"/>
                  <w:tcBorders>
                    <w:tl2br w:val="nil"/>
                    <w:tr2bl w:val="nil"/>
                  </w:tcBorders>
                  <w:vAlign w:val="center"/>
                </w:tcPr>
                <w:p w14:paraId="728290A6">
                  <w:pPr>
                    <w:pStyle w:val="24"/>
                    <w:rPr>
                      <w:rFonts w:hint="default" w:ascii="Times New Roman" w:hAnsi="Times New Roman" w:cs="Times New Roman"/>
                      <w:b/>
                      <w:bCs/>
                      <w:sz w:val="18"/>
                      <w:szCs w:val="18"/>
                      <w:lang w:val="en-US" w:eastAsia="zh-CN"/>
                    </w:rPr>
                  </w:pPr>
                </w:p>
              </w:tc>
              <w:tc>
                <w:tcPr>
                  <w:tcW w:w="553" w:type="dxa"/>
                  <w:vMerge w:val="continue"/>
                  <w:tcBorders>
                    <w:tl2br w:val="nil"/>
                    <w:tr2bl w:val="nil"/>
                  </w:tcBorders>
                  <w:vAlign w:val="center"/>
                </w:tcPr>
                <w:p w14:paraId="4E3C93E0">
                  <w:pPr>
                    <w:pStyle w:val="24"/>
                    <w:rPr>
                      <w:rFonts w:hint="default" w:ascii="Times New Roman" w:hAnsi="Times New Roman" w:cs="Times New Roman"/>
                      <w:b/>
                      <w:bCs/>
                      <w:sz w:val="18"/>
                      <w:szCs w:val="18"/>
                      <w:lang w:val="en-US" w:eastAsia="zh-CN"/>
                    </w:rPr>
                  </w:pPr>
                </w:p>
              </w:tc>
              <w:tc>
                <w:tcPr>
                  <w:tcW w:w="588" w:type="dxa"/>
                  <w:vMerge w:val="continue"/>
                  <w:tcBorders>
                    <w:tl2br w:val="nil"/>
                    <w:tr2bl w:val="nil"/>
                  </w:tcBorders>
                  <w:vAlign w:val="center"/>
                </w:tcPr>
                <w:p w14:paraId="716A412D">
                  <w:pPr>
                    <w:pStyle w:val="24"/>
                    <w:rPr>
                      <w:rFonts w:hint="default" w:ascii="Times New Roman" w:hAnsi="Times New Roman" w:cs="Times New Roman"/>
                      <w:b/>
                      <w:bCs/>
                      <w:sz w:val="18"/>
                      <w:szCs w:val="18"/>
                      <w:lang w:val="en-US" w:eastAsia="zh-CN"/>
                    </w:rPr>
                  </w:pPr>
                </w:p>
              </w:tc>
              <w:tc>
                <w:tcPr>
                  <w:tcW w:w="656" w:type="dxa"/>
                  <w:vMerge w:val="continue"/>
                  <w:tcBorders>
                    <w:tl2br w:val="nil"/>
                    <w:tr2bl w:val="nil"/>
                  </w:tcBorders>
                  <w:vAlign w:val="center"/>
                </w:tcPr>
                <w:p w14:paraId="145ADD40">
                  <w:pPr>
                    <w:pStyle w:val="24"/>
                    <w:rPr>
                      <w:rFonts w:hint="default" w:ascii="Times New Roman" w:hAnsi="Times New Roman" w:cs="Times New Roman"/>
                      <w:b/>
                      <w:bCs/>
                      <w:sz w:val="18"/>
                      <w:szCs w:val="18"/>
                      <w:lang w:val="en-US" w:eastAsia="zh-CN"/>
                    </w:rPr>
                  </w:pPr>
                </w:p>
              </w:tc>
              <w:tc>
                <w:tcPr>
                  <w:tcW w:w="690" w:type="dxa"/>
                  <w:vMerge w:val="continue"/>
                  <w:tcBorders>
                    <w:tl2br w:val="nil"/>
                    <w:tr2bl w:val="nil"/>
                  </w:tcBorders>
                  <w:vAlign w:val="center"/>
                </w:tcPr>
                <w:p w14:paraId="145CE2FA">
                  <w:pPr>
                    <w:pStyle w:val="24"/>
                    <w:rPr>
                      <w:rFonts w:hint="default" w:ascii="Times New Roman" w:hAnsi="Times New Roman" w:cs="Times New Roman"/>
                      <w:b/>
                      <w:bCs/>
                      <w:sz w:val="18"/>
                      <w:szCs w:val="18"/>
                      <w:lang w:val="en-US" w:eastAsia="zh-CN"/>
                    </w:rPr>
                  </w:pPr>
                </w:p>
              </w:tc>
              <w:tc>
                <w:tcPr>
                  <w:tcW w:w="962" w:type="dxa"/>
                  <w:vMerge w:val="continue"/>
                  <w:tcBorders>
                    <w:tl2br w:val="nil"/>
                    <w:tr2bl w:val="nil"/>
                  </w:tcBorders>
                  <w:vAlign w:val="center"/>
                </w:tcPr>
                <w:p w14:paraId="770456FD">
                  <w:pPr>
                    <w:pStyle w:val="24"/>
                    <w:rPr>
                      <w:rFonts w:hint="default" w:ascii="Times New Roman" w:hAnsi="Times New Roman" w:cs="Times New Roman"/>
                      <w:b/>
                      <w:bCs/>
                      <w:sz w:val="18"/>
                      <w:szCs w:val="18"/>
                      <w:lang w:val="en-US" w:eastAsia="zh-CN"/>
                    </w:rPr>
                  </w:pPr>
                </w:p>
              </w:tc>
              <w:tc>
                <w:tcPr>
                  <w:tcW w:w="1170" w:type="dxa"/>
                  <w:vMerge w:val="continue"/>
                  <w:tcBorders>
                    <w:tl2br w:val="nil"/>
                    <w:tr2bl w:val="nil"/>
                  </w:tcBorders>
                  <w:vAlign w:val="center"/>
                </w:tcPr>
                <w:p w14:paraId="18070796">
                  <w:pPr>
                    <w:pStyle w:val="24"/>
                    <w:rPr>
                      <w:rFonts w:hint="default" w:ascii="Times New Roman" w:hAnsi="Times New Roman" w:cs="Times New Roman"/>
                      <w:b/>
                      <w:bCs/>
                      <w:sz w:val="18"/>
                      <w:szCs w:val="18"/>
                      <w:lang w:val="en-US" w:eastAsia="zh-CN"/>
                    </w:rPr>
                  </w:pPr>
                </w:p>
              </w:tc>
              <w:tc>
                <w:tcPr>
                  <w:tcW w:w="584" w:type="dxa"/>
                  <w:vMerge w:val="continue"/>
                  <w:tcBorders>
                    <w:tl2br w:val="nil"/>
                    <w:tr2bl w:val="nil"/>
                  </w:tcBorders>
                  <w:vAlign w:val="center"/>
                </w:tcPr>
                <w:p w14:paraId="0B65C940">
                  <w:pPr>
                    <w:pStyle w:val="24"/>
                    <w:rPr>
                      <w:rFonts w:hint="default" w:ascii="Times New Roman" w:hAnsi="Times New Roman" w:cs="Times New Roman"/>
                      <w:b/>
                      <w:bCs/>
                      <w:sz w:val="18"/>
                      <w:szCs w:val="18"/>
                      <w:lang w:val="en-US" w:eastAsia="zh-CN"/>
                    </w:rPr>
                  </w:pPr>
                </w:p>
              </w:tc>
              <w:tc>
                <w:tcPr>
                  <w:tcW w:w="426" w:type="dxa"/>
                  <w:tcBorders>
                    <w:tl2br w:val="nil"/>
                    <w:tr2bl w:val="nil"/>
                  </w:tcBorders>
                  <w:vAlign w:val="center"/>
                </w:tcPr>
                <w:p w14:paraId="46457C01">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优</w:t>
                  </w:r>
                </w:p>
              </w:tc>
              <w:tc>
                <w:tcPr>
                  <w:tcW w:w="426" w:type="dxa"/>
                  <w:tcBorders>
                    <w:tl2br w:val="nil"/>
                    <w:tr2bl w:val="nil"/>
                  </w:tcBorders>
                  <w:vAlign w:val="center"/>
                </w:tcPr>
                <w:p w14:paraId="43E1554B">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良</w:t>
                  </w:r>
                </w:p>
              </w:tc>
              <w:tc>
                <w:tcPr>
                  <w:tcW w:w="426" w:type="dxa"/>
                  <w:tcBorders>
                    <w:tl2br w:val="nil"/>
                    <w:tr2bl w:val="nil"/>
                  </w:tcBorders>
                  <w:vAlign w:val="center"/>
                </w:tcPr>
                <w:p w14:paraId="19A5A117">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超标</w:t>
                  </w:r>
                </w:p>
              </w:tc>
              <w:tc>
                <w:tcPr>
                  <w:tcW w:w="766" w:type="dxa"/>
                  <w:vMerge w:val="continue"/>
                  <w:tcBorders>
                    <w:tl2br w:val="nil"/>
                    <w:tr2bl w:val="nil"/>
                  </w:tcBorders>
                  <w:vAlign w:val="center"/>
                </w:tcPr>
                <w:p w14:paraId="17ADD235">
                  <w:pPr>
                    <w:pStyle w:val="24"/>
                    <w:rPr>
                      <w:rFonts w:hint="default" w:ascii="Times New Roman" w:hAnsi="Times New Roman" w:cs="Times New Roman"/>
                      <w:b/>
                      <w:bCs/>
                      <w:sz w:val="18"/>
                      <w:szCs w:val="18"/>
                      <w:lang w:val="en-US" w:eastAsia="zh-CN"/>
                    </w:rPr>
                  </w:pPr>
                </w:p>
              </w:tc>
            </w:tr>
            <w:tr w14:paraId="76ADF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66" w:type="dxa"/>
                  <w:tcBorders>
                    <w:tl2br w:val="nil"/>
                    <w:tr2bl w:val="nil"/>
                  </w:tcBorders>
                  <w:vAlign w:val="center"/>
                </w:tcPr>
                <w:p w14:paraId="24D46C1C">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秀屿区</w:t>
                  </w:r>
                </w:p>
              </w:tc>
              <w:tc>
                <w:tcPr>
                  <w:tcW w:w="553" w:type="dxa"/>
                  <w:tcBorders>
                    <w:tl2br w:val="nil"/>
                    <w:tr2bl w:val="nil"/>
                  </w:tcBorders>
                  <w:vAlign w:val="center"/>
                </w:tcPr>
                <w:p w14:paraId="79049C5D">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7</w:t>
                  </w:r>
                </w:p>
              </w:tc>
              <w:tc>
                <w:tcPr>
                  <w:tcW w:w="588" w:type="dxa"/>
                  <w:tcBorders>
                    <w:tl2br w:val="nil"/>
                    <w:tr2bl w:val="nil"/>
                  </w:tcBorders>
                  <w:vAlign w:val="center"/>
                </w:tcPr>
                <w:p w14:paraId="030FF5A2">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w:t>
                  </w:r>
                </w:p>
              </w:tc>
              <w:tc>
                <w:tcPr>
                  <w:tcW w:w="656" w:type="dxa"/>
                  <w:tcBorders>
                    <w:tl2br w:val="nil"/>
                    <w:tr2bl w:val="nil"/>
                  </w:tcBorders>
                  <w:vAlign w:val="center"/>
                </w:tcPr>
                <w:p w14:paraId="3FDC2259">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31</w:t>
                  </w:r>
                </w:p>
              </w:tc>
              <w:tc>
                <w:tcPr>
                  <w:tcW w:w="690" w:type="dxa"/>
                  <w:tcBorders>
                    <w:tl2br w:val="nil"/>
                    <w:tr2bl w:val="nil"/>
                  </w:tcBorders>
                  <w:vAlign w:val="center"/>
                </w:tcPr>
                <w:p w14:paraId="1BC9DE13">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22</w:t>
                  </w:r>
                </w:p>
              </w:tc>
              <w:tc>
                <w:tcPr>
                  <w:tcW w:w="962" w:type="dxa"/>
                  <w:tcBorders>
                    <w:tl2br w:val="nil"/>
                    <w:tr2bl w:val="nil"/>
                  </w:tcBorders>
                  <w:vAlign w:val="center"/>
                </w:tcPr>
                <w:p w14:paraId="292DCE64">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0.7</w:t>
                  </w:r>
                </w:p>
              </w:tc>
              <w:tc>
                <w:tcPr>
                  <w:tcW w:w="1170" w:type="dxa"/>
                  <w:tcBorders>
                    <w:tl2br w:val="nil"/>
                    <w:tr2bl w:val="nil"/>
                  </w:tcBorders>
                  <w:vAlign w:val="center"/>
                </w:tcPr>
                <w:p w14:paraId="60C24AD3">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149</w:t>
                  </w:r>
                </w:p>
              </w:tc>
              <w:tc>
                <w:tcPr>
                  <w:tcW w:w="584" w:type="dxa"/>
                  <w:tcBorders>
                    <w:tl2br w:val="nil"/>
                    <w:tr2bl w:val="nil"/>
                  </w:tcBorders>
                  <w:vAlign w:val="center"/>
                </w:tcPr>
                <w:p w14:paraId="4A6CB391">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93.5</w:t>
                  </w:r>
                </w:p>
              </w:tc>
              <w:tc>
                <w:tcPr>
                  <w:tcW w:w="426" w:type="dxa"/>
                  <w:tcBorders>
                    <w:tl2br w:val="nil"/>
                    <w:tr2bl w:val="nil"/>
                  </w:tcBorders>
                  <w:vAlign w:val="center"/>
                </w:tcPr>
                <w:p w14:paraId="36D79771">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8</w:t>
                  </w:r>
                </w:p>
              </w:tc>
              <w:tc>
                <w:tcPr>
                  <w:tcW w:w="426" w:type="dxa"/>
                  <w:tcBorders>
                    <w:tl2br w:val="nil"/>
                    <w:tr2bl w:val="nil"/>
                  </w:tcBorders>
                  <w:vAlign w:val="center"/>
                </w:tcPr>
                <w:p w14:paraId="016A8783">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21</w:t>
                  </w:r>
                </w:p>
              </w:tc>
              <w:tc>
                <w:tcPr>
                  <w:tcW w:w="426" w:type="dxa"/>
                  <w:tcBorders>
                    <w:tl2br w:val="nil"/>
                    <w:tr2bl w:val="nil"/>
                  </w:tcBorders>
                  <w:vAlign w:val="center"/>
                </w:tcPr>
                <w:p w14:paraId="731E63E3">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w:t>
                  </w:r>
                </w:p>
              </w:tc>
              <w:tc>
                <w:tcPr>
                  <w:tcW w:w="766" w:type="dxa"/>
                  <w:tcBorders>
                    <w:tl2br w:val="nil"/>
                    <w:tr2bl w:val="nil"/>
                  </w:tcBorders>
                  <w:vAlign w:val="center"/>
                </w:tcPr>
                <w:p w14:paraId="434F17CB">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臭氧（O</w:t>
                  </w:r>
                  <w:r>
                    <w:rPr>
                      <w:rFonts w:hint="default" w:ascii="Times New Roman" w:hAnsi="Times New Roman" w:cs="Times New Roman"/>
                      <w:sz w:val="18"/>
                      <w:szCs w:val="18"/>
                      <w:vertAlign w:val="subscript"/>
                      <w:lang w:val="en-US" w:eastAsia="zh-CN"/>
                    </w:rPr>
                    <w:t>3</w:t>
                  </w:r>
                  <w:r>
                    <w:rPr>
                      <w:rFonts w:hint="default" w:ascii="Times New Roman" w:hAnsi="Times New Roman" w:cs="Times New Roman"/>
                      <w:sz w:val="18"/>
                      <w:szCs w:val="18"/>
                      <w:lang w:val="en-US" w:eastAsia="zh-CN"/>
                    </w:rPr>
                    <w:t>）</w:t>
                  </w:r>
                </w:p>
              </w:tc>
            </w:tr>
            <w:tr w14:paraId="6BBFA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113" w:type="dxa"/>
                  <w:gridSpan w:val="12"/>
                  <w:tcBorders>
                    <w:tl2br w:val="nil"/>
                    <w:tr2bl w:val="nil"/>
                  </w:tcBorders>
                  <w:vAlign w:val="center"/>
                </w:tcPr>
                <w:p w14:paraId="05B1656C">
                  <w:pPr>
                    <w:pStyle w:val="24"/>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注：SO</w:t>
                  </w:r>
                  <w:r>
                    <w:rPr>
                      <w:rFonts w:hint="default" w:ascii="Times New Roman" w:hAnsi="Times New Roman" w:cs="Times New Roman"/>
                      <w:sz w:val="18"/>
                      <w:szCs w:val="18"/>
                      <w:vertAlign w:val="subscript"/>
                      <w:lang w:val="en-US" w:eastAsia="zh-CN"/>
                    </w:rPr>
                    <w:t>2</w:t>
                  </w:r>
                  <w:r>
                    <w:rPr>
                      <w:rFonts w:hint="default" w:ascii="Times New Roman" w:hAnsi="Times New Roman" w:cs="Times New Roman"/>
                      <w:sz w:val="18"/>
                      <w:szCs w:val="18"/>
                      <w:lang w:val="en-US" w:eastAsia="zh-CN"/>
                    </w:rPr>
                    <w:t>、NO</w:t>
                  </w:r>
                  <w:r>
                    <w:rPr>
                      <w:rFonts w:hint="default" w:ascii="Times New Roman" w:hAnsi="Times New Roman" w:cs="Times New Roman"/>
                      <w:sz w:val="18"/>
                      <w:szCs w:val="18"/>
                      <w:vertAlign w:val="subscript"/>
                      <w:lang w:val="en-US" w:eastAsia="zh-CN"/>
                    </w:rPr>
                    <w:t>2</w:t>
                  </w:r>
                  <w:r>
                    <w:rPr>
                      <w:rFonts w:hint="default" w:ascii="Times New Roman" w:hAnsi="Times New Roman" w:cs="Times New Roman"/>
                      <w:sz w:val="18"/>
                      <w:szCs w:val="18"/>
                      <w:lang w:val="en-US" w:eastAsia="zh-CN"/>
                    </w:rPr>
                    <w:t>、PM</w:t>
                  </w:r>
                  <w:r>
                    <w:rPr>
                      <w:rFonts w:hint="default" w:ascii="Times New Roman" w:hAnsi="Times New Roman" w:cs="Times New Roman"/>
                      <w:sz w:val="18"/>
                      <w:szCs w:val="18"/>
                      <w:vertAlign w:val="subscript"/>
                      <w:lang w:val="en-US" w:eastAsia="zh-CN"/>
                    </w:rPr>
                    <w:t>10</w:t>
                  </w:r>
                  <w:r>
                    <w:rPr>
                      <w:rFonts w:hint="default" w:ascii="Times New Roman" w:hAnsi="Times New Roman" w:cs="Times New Roman"/>
                      <w:sz w:val="18"/>
                      <w:szCs w:val="18"/>
                      <w:lang w:val="en-US" w:eastAsia="zh-CN"/>
                    </w:rPr>
                    <w:t>、PM</w:t>
                  </w:r>
                  <w:r>
                    <w:rPr>
                      <w:rFonts w:hint="default" w:ascii="Times New Roman" w:hAnsi="Times New Roman" w:cs="Times New Roman"/>
                      <w:sz w:val="18"/>
                      <w:szCs w:val="18"/>
                      <w:vertAlign w:val="subscript"/>
                      <w:lang w:val="en-US" w:eastAsia="zh-CN"/>
                    </w:rPr>
                    <w:t>2.5</w:t>
                  </w:r>
                  <w:r>
                    <w:rPr>
                      <w:rFonts w:hint="default" w:ascii="Times New Roman" w:hAnsi="Times New Roman" w:cs="Times New Roman"/>
                      <w:sz w:val="18"/>
                      <w:szCs w:val="18"/>
                      <w:lang w:val="en-US" w:eastAsia="zh-CN"/>
                    </w:rPr>
                    <w:t>为月均浓度，CO为日均值第95百分位数，O</w:t>
                  </w:r>
                  <w:r>
                    <w:rPr>
                      <w:rFonts w:hint="default" w:ascii="Times New Roman" w:hAnsi="Times New Roman" w:cs="Times New Roman"/>
                      <w:sz w:val="18"/>
                      <w:szCs w:val="18"/>
                      <w:vertAlign w:val="subscript"/>
                      <w:lang w:val="en-US" w:eastAsia="zh-CN"/>
                    </w:rPr>
                    <w:t>3</w:t>
                  </w:r>
                  <w:r>
                    <w:rPr>
                      <w:rFonts w:hint="default" w:ascii="Times New Roman" w:hAnsi="Times New Roman" w:cs="Times New Roman"/>
                      <w:sz w:val="18"/>
                      <w:szCs w:val="18"/>
                      <w:lang w:val="en-US" w:eastAsia="zh-CN"/>
                    </w:rPr>
                    <w:t>为日最大8小时值第90百分位数，除CO浓度指标的单位为mg/m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lang w:val="en-US" w:eastAsia="zh-CN"/>
                    </w:rPr>
                    <w:t>，其他浓度指标的单位均为ug/m</w:t>
                  </w:r>
                  <w:r>
                    <w:rPr>
                      <w:rFonts w:hint="default" w:ascii="Times New Roman" w:hAnsi="Times New Roman" w:cs="Times New Roman"/>
                      <w:sz w:val="18"/>
                      <w:szCs w:val="18"/>
                      <w:vertAlign w:val="superscript"/>
                      <w:lang w:val="en-US" w:eastAsia="zh-CN"/>
                    </w:rPr>
                    <w:t>3</w:t>
                  </w:r>
                </w:p>
              </w:tc>
            </w:tr>
          </w:tbl>
          <w:p w14:paraId="4786C88B">
            <w:pPr>
              <w:pStyle w:val="6"/>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由上述统计信息可知，秀屿区</w:t>
            </w:r>
            <w:r>
              <w:rPr>
                <w:rFonts w:hint="eastAsia" w:cs="Times New Roman"/>
                <w:lang w:val="en-US" w:eastAsia="zh-CN"/>
              </w:rPr>
              <w:t>2024年8</w:t>
            </w:r>
            <w:r>
              <w:rPr>
                <w:rFonts w:hint="default" w:ascii="Times New Roman" w:hAnsi="Times New Roman" w:cs="Times New Roman"/>
                <w:lang w:val="en-US" w:eastAsia="zh-CN"/>
              </w:rPr>
              <w:t>月份环境空气现状质量指标符合GB3095-2012《环境空气质量标准》二级标准。</w:t>
            </w:r>
          </w:p>
          <w:p w14:paraId="3AC5F838">
            <w:pPr>
              <w:ind w:left="0" w:leftChars="0" w:firstLine="0" w:firstLineChars="0"/>
              <w:jc w:val="center"/>
              <w:rPr>
                <w:rFonts w:hint="default" w:ascii="Times New Roman" w:hAnsi="Times New Roman" w:cs="Times New Roman"/>
              </w:rPr>
            </w:pPr>
            <w:r>
              <w:drawing>
                <wp:inline distT="0" distB="0" distL="114300" distR="114300">
                  <wp:extent cx="5264150" cy="4888865"/>
                  <wp:effectExtent l="12700" t="12700" r="19050" b="1333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1"/>
                          <a:stretch>
                            <a:fillRect/>
                          </a:stretch>
                        </pic:blipFill>
                        <pic:spPr>
                          <a:xfrm>
                            <a:off x="0" y="0"/>
                            <a:ext cx="5264150" cy="488886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511348F6">
            <w:pPr>
              <w:jc w:val="center"/>
              <w:rPr>
                <w:rFonts w:hint="default" w:ascii="Times New Roman" w:hAnsi="Times New Roman" w:cs="Times New Roman"/>
              </w:rPr>
            </w:pPr>
            <w:r>
              <w:rPr>
                <w:rFonts w:hint="default" w:ascii="Times New Roman" w:hAnsi="Times New Roman" w:cs="Times New Roman"/>
                <w:b/>
                <w:bCs/>
                <w:lang w:val="en-US" w:eastAsia="zh-CN"/>
              </w:rPr>
              <w:t>图3-1  202</w:t>
            </w:r>
            <w:r>
              <w:rPr>
                <w:rFonts w:hint="eastAsia" w:cs="Times New Roman"/>
                <w:b/>
                <w:bCs/>
                <w:lang w:val="en-US" w:eastAsia="zh-CN"/>
              </w:rPr>
              <w:t>4</w:t>
            </w:r>
            <w:r>
              <w:rPr>
                <w:rFonts w:hint="default" w:ascii="Times New Roman" w:hAnsi="Times New Roman" w:cs="Times New Roman"/>
                <w:b/>
                <w:bCs/>
                <w:lang w:val="en-US" w:eastAsia="zh-CN"/>
              </w:rPr>
              <w:t>年莆田市环境质量现状</w:t>
            </w:r>
          </w:p>
          <w:p w14:paraId="6A79F2CA">
            <w:pPr>
              <w:ind w:left="0" w:leftChars="0" w:firstLine="0" w:firstLineChars="0"/>
              <w:jc w:val="center"/>
            </w:pPr>
            <w:r>
              <w:drawing>
                <wp:inline distT="0" distB="0" distL="114300" distR="114300">
                  <wp:extent cx="5263515" cy="4269105"/>
                  <wp:effectExtent l="12700" t="12700" r="19685" b="2349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2"/>
                          <a:stretch>
                            <a:fillRect/>
                          </a:stretch>
                        </pic:blipFill>
                        <pic:spPr>
                          <a:xfrm>
                            <a:off x="0" y="0"/>
                            <a:ext cx="5263515" cy="426910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0CCB28E0">
            <w:pPr>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图3-2  202</w:t>
            </w:r>
            <w:r>
              <w:rPr>
                <w:rFonts w:hint="eastAsia" w:cs="Times New Roman"/>
                <w:b/>
                <w:bCs/>
                <w:lang w:val="en-US" w:eastAsia="zh-CN"/>
              </w:rPr>
              <w:t>4</w:t>
            </w:r>
            <w:r>
              <w:rPr>
                <w:rFonts w:hint="default" w:ascii="Times New Roman" w:hAnsi="Times New Roman" w:cs="Times New Roman"/>
                <w:b/>
                <w:bCs/>
                <w:lang w:val="en-US" w:eastAsia="zh-CN"/>
              </w:rPr>
              <w:t>年</w:t>
            </w:r>
            <w:r>
              <w:rPr>
                <w:rFonts w:hint="eastAsia" w:cs="Times New Roman"/>
                <w:b/>
                <w:bCs/>
                <w:lang w:val="en-US" w:eastAsia="zh-CN"/>
              </w:rPr>
              <w:t>8</w:t>
            </w:r>
            <w:r>
              <w:rPr>
                <w:rFonts w:hint="default" w:ascii="Times New Roman" w:hAnsi="Times New Roman" w:cs="Times New Roman"/>
                <w:b/>
                <w:bCs/>
                <w:lang w:val="en-US" w:eastAsia="zh-CN"/>
              </w:rPr>
              <w:t>月份莆田市各区县环境空气质量排名情况</w:t>
            </w:r>
          </w:p>
          <w:p w14:paraId="71F9B6F3">
            <w:pPr>
              <w:spacing w:line="360" w:lineRule="auto"/>
              <w:ind w:left="0" w:leftChars="0" w:firstLine="0" w:firstLineChars="0"/>
              <w:jc w:val="left"/>
              <w:rPr>
                <w:rFonts w:hint="default" w:ascii="Times New Roman" w:hAnsi="Times New Roman" w:cs="Times New Roman"/>
                <w:b/>
                <w:bCs/>
                <w:lang w:val="en-US" w:eastAsia="zh-CN"/>
              </w:rPr>
            </w:pPr>
            <w:r>
              <w:rPr>
                <w:rFonts w:hint="eastAsia" w:cs="Times New Roman"/>
                <w:b/>
                <w:bCs/>
                <w:lang w:val="en-US" w:eastAsia="zh-CN"/>
              </w:rPr>
              <w:t>2、</w:t>
            </w:r>
            <w:r>
              <w:rPr>
                <w:rFonts w:hint="default" w:ascii="Times New Roman" w:hAnsi="Times New Roman" w:cs="Times New Roman"/>
                <w:b/>
                <w:bCs/>
                <w:lang w:val="en-US" w:eastAsia="zh-CN"/>
              </w:rPr>
              <w:t>水环境</w:t>
            </w:r>
          </w:p>
          <w:p w14:paraId="03DF2ABB">
            <w:pPr>
              <w:numPr>
                <w:ilvl w:val="0"/>
                <w:numId w:val="6"/>
              </w:numPr>
              <w:spacing w:line="36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水环境功能区划及质量标准</w:t>
            </w:r>
          </w:p>
          <w:p w14:paraId="110B1512">
            <w:pPr>
              <w:widowControl w:val="0"/>
              <w:wordWrap/>
              <w:adjustRightInd/>
              <w:snapToGrid/>
              <w:spacing w:line="360" w:lineRule="auto"/>
              <w:textAlignment w:val="auto"/>
              <w:rPr>
                <w:rFonts w:hint="default" w:ascii="Times New Roman" w:hAnsi="Times New Roman" w:cs="Times New Roman"/>
              </w:rPr>
            </w:pPr>
            <w:r>
              <w:rPr>
                <w:rFonts w:hint="eastAsia" w:cs="Times New Roman"/>
                <w:lang w:val="en-US" w:eastAsia="zh-CN"/>
              </w:rPr>
              <w:t>根据《福建省人民政府关于印发福建省近岸海域环境功能区划（修编）的通知》（闽政文</w:t>
            </w:r>
            <w:r>
              <w:rPr>
                <w:rFonts w:hint="default" w:ascii="Times New Roman" w:hAnsi="Times New Roman" w:eastAsia="宋体" w:cs="Times New Roman"/>
                <w:lang w:val="en-US" w:eastAsia="zh-CN"/>
              </w:rPr>
              <w:t>〔2011〕45号</w:t>
            </w:r>
            <w:r>
              <w:rPr>
                <w:rFonts w:hint="eastAsia" w:cs="Times New Roman"/>
                <w:lang w:val="en-US" w:eastAsia="zh-CN"/>
              </w:rPr>
              <w:t>）</w:t>
            </w:r>
            <w:r>
              <w:rPr>
                <w:rFonts w:hint="default" w:ascii="Times New Roman" w:hAnsi="Times New Roman" w:cs="Times New Roman"/>
              </w:rPr>
              <w:t>，</w:t>
            </w:r>
            <w:r>
              <w:rPr>
                <w:rFonts w:hint="eastAsia" w:cs="Times New Roman"/>
                <w:lang w:val="en-US" w:eastAsia="zh-CN"/>
              </w:rPr>
              <w:t>项目所在地处于平海湾，其主导功能为养殖、旅游规划为二类功能区，海水水质</w:t>
            </w:r>
            <w:r>
              <w:rPr>
                <w:rFonts w:hint="default" w:ascii="Times New Roman" w:hAnsi="Times New Roman" w:cs="Times New Roman"/>
              </w:rPr>
              <w:t>执行GB3</w:t>
            </w:r>
            <w:r>
              <w:rPr>
                <w:rFonts w:hint="eastAsia" w:cs="Times New Roman"/>
                <w:lang w:val="en-US" w:eastAsia="zh-CN"/>
              </w:rPr>
              <w:t>097</w:t>
            </w:r>
            <w:r>
              <w:rPr>
                <w:rFonts w:hint="default" w:ascii="Times New Roman" w:hAnsi="Times New Roman" w:cs="Times New Roman"/>
              </w:rPr>
              <w:t>-</w:t>
            </w:r>
            <w:r>
              <w:rPr>
                <w:rFonts w:hint="eastAsia" w:cs="Times New Roman"/>
                <w:lang w:val="en-US" w:eastAsia="zh-CN"/>
              </w:rPr>
              <w:t>1997</w:t>
            </w:r>
            <w:r>
              <w:rPr>
                <w:rFonts w:hint="default" w:ascii="Times New Roman" w:hAnsi="Times New Roman" w:cs="Times New Roman"/>
              </w:rPr>
              <w:t>《</w:t>
            </w:r>
            <w:r>
              <w:rPr>
                <w:rFonts w:hint="eastAsia" w:cs="Times New Roman"/>
                <w:lang w:val="en-US" w:eastAsia="zh-CN"/>
              </w:rPr>
              <w:t>海水水质标准</w:t>
            </w:r>
            <w:r>
              <w:rPr>
                <w:rFonts w:hint="default" w:ascii="Times New Roman" w:hAnsi="Times New Roman" w:cs="Times New Roman"/>
              </w:rPr>
              <w:t>》中的</w:t>
            </w:r>
            <w:r>
              <w:rPr>
                <w:rFonts w:hint="eastAsia" w:cs="Times New Roman"/>
                <w:lang w:val="en-US" w:eastAsia="zh-CN"/>
              </w:rPr>
              <w:t>第二</w:t>
            </w:r>
            <w:r>
              <w:rPr>
                <w:rFonts w:hint="default" w:ascii="Times New Roman" w:hAnsi="Times New Roman" w:cs="Times New Roman"/>
              </w:rPr>
              <w:t>类标准。</w:t>
            </w:r>
            <w:r>
              <w:rPr>
                <w:rFonts w:hint="eastAsia" w:cs="Times New Roman"/>
                <w:lang w:val="en-US" w:eastAsia="zh-CN"/>
              </w:rPr>
              <w:t>海水</w:t>
            </w:r>
            <w:r>
              <w:rPr>
                <w:rFonts w:hint="default" w:ascii="Times New Roman" w:hAnsi="Times New Roman" w:cs="Times New Roman"/>
              </w:rPr>
              <w:t>水环境质量标准</w:t>
            </w:r>
            <w:r>
              <w:rPr>
                <w:rFonts w:hint="eastAsia" w:cs="Times New Roman"/>
                <w:lang w:val="en-US" w:eastAsia="zh-CN"/>
              </w:rPr>
              <w:t>详见下</w:t>
            </w:r>
            <w:r>
              <w:rPr>
                <w:rFonts w:hint="default" w:ascii="Times New Roman" w:hAnsi="Times New Roman" w:cs="Times New Roman"/>
              </w:rPr>
              <w:t>表3-</w:t>
            </w:r>
            <w:r>
              <w:rPr>
                <w:rFonts w:hint="eastAsia" w:cs="Times New Roman"/>
                <w:lang w:val="en-US" w:eastAsia="zh-CN"/>
              </w:rPr>
              <w:t>3</w:t>
            </w:r>
            <w:r>
              <w:rPr>
                <w:rFonts w:hint="default" w:ascii="Times New Roman" w:hAnsi="Times New Roman" w:cs="Times New Roman"/>
              </w:rPr>
              <w:t>。</w:t>
            </w:r>
          </w:p>
          <w:p w14:paraId="3AA01546">
            <w:pPr>
              <w:pStyle w:val="16"/>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表3-</w:t>
            </w:r>
            <w:r>
              <w:rPr>
                <w:rFonts w:hint="eastAsia" w:cs="Times New Roman"/>
                <w:b/>
                <w:bCs/>
                <w:lang w:val="en-US" w:eastAsia="zh-CN"/>
              </w:rPr>
              <w:t>3  海</w:t>
            </w:r>
            <w:r>
              <w:rPr>
                <w:rFonts w:hint="default" w:ascii="Times New Roman" w:hAnsi="Times New Roman" w:cs="Times New Roman"/>
                <w:b/>
                <w:bCs/>
                <w:lang w:val="en-US" w:eastAsia="zh-CN"/>
              </w:rPr>
              <w:t>水水质标准</w:t>
            </w:r>
            <w:r>
              <w:rPr>
                <w:rFonts w:hint="eastAsia" w:cs="Times New Roman"/>
                <w:b/>
                <w:bCs/>
                <w:lang w:val="en-US" w:eastAsia="zh-CN"/>
              </w:rPr>
              <w:t>（摘录）</w:t>
            </w:r>
          </w:p>
          <w:tbl>
            <w:tblPr>
              <w:tblStyle w:val="17"/>
              <w:tblW w:w="82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54"/>
              <w:gridCol w:w="1382"/>
              <w:gridCol w:w="1382"/>
              <w:gridCol w:w="1382"/>
              <w:gridCol w:w="1382"/>
            </w:tblGrid>
            <w:tr w14:paraId="38496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75758FD0">
                  <w:pPr>
                    <w:widowControl w:val="0"/>
                    <w:wordWrap/>
                    <w:adjustRightInd/>
                    <w:snapToGrid/>
                    <w:spacing w:line="240" w:lineRule="auto"/>
                    <w:ind w:firstLine="0" w:firstLineChars="0"/>
                    <w:jc w:val="center"/>
                    <w:textAlignment w:val="auto"/>
                    <w:rPr>
                      <w:rFonts w:hint="eastAsia" w:ascii="Times New Roman" w:hAnsi="Times New Roman" w:eastAsia="宋体" w:cs="Times New Roman"/>
                      <w:b/>
                      <w:bCs/>
                      <w:sz w:val="18"/>
                      <w:szCs w:val="18"/>
                      <w:lang w:val="en-US" w:eastAsia="zh-CN"/>
                    </w:rPr>
                  </w:pPr>
                  <w:r>
                    <w:rPr>
                      <w:rFonts w:hint="eastAsia" w:cs="Times New Roman"/>
                      <w:b/>
                      <w:bCs/>
                      <w:sz w:val="18"/>
                      <w:szCs w:val="18"/>
                      <w:lang w:val="en-US" w:eastAsia="zh-CN"/>
                    </w:rPr>
                    <w:t>序号</w:t>
                  </w:r>
                </w:p>
              </w:tc>
              <w:tc>
                <w:tcPr>
                  <w:tcW w:w="1954" w:type="dxa"/>
                  <w:tcBorders>
                    <w:tl2br w:val="nil"/>
                    <w:tr2bl w:val="nil"/>
                  </w:tcBorders>
                  <w:shd w:val="clear" w:color="auto" w:fill="auto"/>
                  <w:vAlign w:val="center"/>
                </w:tcPr>
                <w:p w14:paraId="16923C12">
                  <w:pPr>
                    <w:widowControl w:val="0"/>
                    <w:wordWrap/>
                    <w:adjustRightInd/>
                    <w:snapToGrid/>
                    <w:spacing w:line="240" w:lineRule="auto"/>
                    <w:ind w:firstLine="0" w:firstLineChars="0"/>
                    <w:jc w:val="center"/>
                    <w:textAlignment w:val="auto"/>
                    <w:rPr>
                      <w:rFonts w:hint="eastAsia" w:ascii="Times New Roman" w:hAnsi="Times New Roman" w:eastAsia="宋体" w:cs="Times New Roman"/>
                      <w:b/>
                      <w:bCs/>
                      <w:sz w:val="18"/>
                      <w:szCs w:val="18"/>
                      <w:lang w:val="en-US" w:eastAsia="zh-CN"/>
                    </w:rPr>
                  </w:pPr>
                  <w:r>
                    <w:rPr>
                      <w:rFonts w:hint="eastAsia" w:cs="Times New Roman"/>
                      <w:b/>
                      <w:bCs/>
                      <w:sz w:val="18"/>
                      <w:szCs w:val="18"/>
                      <w:lang w:val="en-US" w:eastAsia="zh-CN"/>
                    </w:rPr>
                    <w:t>项目</w:t>
                  </w:r>
                </w:p>
              </w:tc>
              <w:tc>
                <w:tcPr>
                  <w:tcW w:w="1382" w:type="dxa"/>
                  <w:tcBorders>
                    <w:tl2br w:val="nil"/>
                    <w:tr2bl w:val="nil"/>
                  </w:tcBorders>
                  <w:shd w:val="clear" w:color="auto" w:fill="auto"/>
                  <w:vAlign w:val="center"/>
                </w:tcPr>
                <w:p w14:paraId="436F33E5">
                  <w:pPr>
                    <w:widowControl w:val="0"/>
                    <w:wordWrap/>
                    <w:adjustRightInd/>
                    <w:snapToGrid/>
                    <w:spacing w:line="240" w:lineRule="auto"/>
                    <w:ind w:firstLine="0" w:firstLineChars="0"/>
                    <w:jc w:val="center"/>
                    <w:textAlignment w:val="auto"/>
                    <w:rPr>
                      <w:rFonts w:hint="eastAsia" w:ascii="Times New Roman" w:hAnsi="Times New Roman" w:eastAsia="宋体" w:cs="Times New Roman"/>
                      <w:b/>
                      <w:bCs/>
                      <w:sz w:val="18"/>
                      <w:szCs w:val="18"/>
                      <w:lang w:val="en-US" w:eastAsia="zh-CN"/>
                    </w:rPr>
                  </w:pPr>
                  <w:r>
                    <w:rPr>
                      <w:rFonts w:hint="eastAsia" w:cs="Times New Roman"/>
                      <w:b/>
                      <w:bCs/>
                      <w:sz w:val="18"/>
                      <w:szCs w:val="18"/>
                      <w:lang w:val="en-US" w:eastAsia="zh-CN"/>
                    </w:rPr>
                    <w:t>第一类</w:t>
                  </w:r>
                </w:p>
              </w:tc>
              <w:tc>
                <w:tcPr>
                  <w:tcW w:w="1382" w:type="dxa"/>
                  <w:tcBorders>
                    <w:tl2br w:val="nil"/>
                    <w:tr2bl w:val="nil"/>
                  </w:tcBorders>
                  <w:shd w:val="clear" w:color="auto" w:fill="D7D7D7"/>
                  <w:vAlign w:val="center"/>
                </w:tcPr>
                <w:p w14:paraId="1335C2C4">
                  <w:pPr>
                    <w:widowControl w:val="0"/>
                    <w:wordWrap/>
                    <w:adjustRightInd/>
                    <w:snapToGrid/>
                    <w:spacing w:line="240" w:lineRule="auto"/>
                    <w:ind w:firstLine="0" w:firstLineChars="0"/>
                    <w:jc w:val="center"/>
                    <w:textAlignment w:val="auto"/>
                    <w:rPr>
                      <w:rFonts w:hint="eastAsia" w:ascii="Times New Roman" w:hAnsi="Times New Roman" w:eastAsia="宋体" w:cs="Times New Roman"/>
                      <w:b/>
                      <w:bCs/>
                      <w:sz w:val="18"/>
                      <w:szCs w:val="18"/>
                      <w:lang w:val="en-US" w:eastAsia="zh-CN"/>
                    </w:rPr>
                  </w:pPr>
                  <w:r>
                    <w:rPr>
                      <w:rFonts w:hint="eastAsia" w:cs="Times New Roman"/>
                      <w:b/>
                      <w:bCs/>
                      <w:sz w:val="18"/>
                      <w:szCs w:val="18"/>
                      <w:lang w:val="en-US" w:eastAsia="zh-CN"/>
                    </w:rPr>
                    <w:t>第二类</w:t>
                  </w:r>
                </w:p>
              </w:tc>
              <w:tc>
                <w:tcPr>
                  <w:tcW w:w="1382" w:type="dxa"/>
                  <w:tcBorders>
                    <w:tl2br w:val="nil"/>
                    <w:tr2bl w:val="nil"/>
                  </w:tcBorders>
                  <w:vAlign w:val="center"/>
                </w:tcPr>
                <w:p w14:paraId="10303E20">
                  <w:pPr>
                    <w:widowControl w:val="0"/>
                    <w:wordWrap/>
                    <w:adjustRightInd/>
                    <w:snapToGrid/>
                    <w:spacing w:line="240" w:lineRule="auto"/>
                    <w:ind w:firstLine="0" w:firstLineChars="0"/>
                    <w:jc w:val="center"/>
                    <w:textAlignment w:val="auto"/>
                    <w:rPr>
                      <w:rFonts w:hint="eastAsia" w:ascii="Times New Roman" w:hAnsi="Times New Roman" w:eastAsia="宋体" w:cs="Times New Roman"/>
                      <w:b/>
                      <w:bCs/>
                      <w:sz w:val="18"/>
                      <w:szCs w:val="18"/>
                      <w:lang w:val="en-US" w:eastAsia="zh-CN"/>
                    </w:rPr>
                  </w:pPr>
                  <w:r>
                    <w:rPr>
                      <w:rFonts w:hint="eastAsia" w:cs="Times New Roman"/>
                      <w:b/>
                      <w:bCs/>
                      <w:sz w:val="18"/>
                      <w:szCs w:val="18"/>
                      <w:lang w:val="en-US" w:eastAsia="zh-CN"/>
                    </w:rPr>
                    <w:t>第三类</w:t>
                  </w:r>
                </w:p>
              </w:tc>
              <w:tc>
                <w:tcPr>
                  <w:tcW w:w="1382" w:type="dxa"/>
                  <w:tcBorders>
                    <w:tl2br w:val="nil"/>
                    <w:tr2bl w:val="nil"/>
                  </w:tcBorders>
                  <w:vAlign w:val="center"/>
                </w:tcPr>
                <w:p w14:paraId="4EA7D8C1">
                  <w:pPr>
                    <w:widowControl w:val="0"/>
                    <w:wordWrap/>
                    <w:adjustRightInd/>
                    <w:snapToGrid/>
                    <w:spacing w:line="240" w:lineRule="auto"/>
                    <w:ind w:firstLine="0" w:firstLineChars="0"/>
                    <w:jc w:val="center"/>
                    <w:textAlignment w:val="auto"/>
                    <w:rPr>
                      <w:rFonts w:hint="eastAsia" w:ascii="Times New Roman" w:hAnsi="Times New Roman" w:eastAsia="宋体" w:cs="Times New Roman"/>
                      <w:b/>
                      <w:bCs/>
                      <w:sz w:val="18"/>
                      <w:szCs w:val="18"/>
                      <w:lang w:val="en-US" w:eastAsia="zh-CN"/>
                    </w:rPr>
                  </w:pPr>
                  <w:r>
                    <w:rPr>
                      <w:rFonts w:hint="eastAsia" w:cs="Times New Roman"/>
                      <w:b/>
                      <w:bCs/>
                      <w:sz w:val="18"/>
                      <w:szCs w:val="18"/>
                      <w:lang w:val="en-US" w:eastAsia="zh-CN"/>
                    </w:rPr>
                    <w:t>第四类</w:t>
                  </w:r>
                </w:p>
              </w:tc>
            </w:tr>
            <w:tr w14:paraId="6A5D1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0363078B">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1</w:t>
                  </w:r>
                </w:p>
              </w:tc>
              <w:tc>
                <w:tcPr>
                  <w:tcW w:w="1954" w:type="dxa"/>
                  <w:tcBorders>
                    <w:tl2br w:val="nil"/>
                    <w:tr2bl w:val="nil"/>
                  </w:tcBorders>
                  <w:shd w:val="clear" w:color="auto" w:fill="auto"/>
                  <w:vAlign w:val="center"/>
                </w:tcPr>
                <w:p w14:paraId="6F4107EA">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悬浮物质</w:t>
                  </w:r>
                </w:p>
              </w:tc>
              <w:tc>
                <w:tcPr>
                  <w:tcW w:w="2764" w:type="dxa"/>
                  <w:gridSpan w:val="2"/>
                  <w:tcBorders>
                    <w:tl2br w:val="nil"/>
                    <w:tr2bl w:val="nil"/>
                  </w:tcBorders>
                  <w:shd w:val="clear" w:color="auto" w:fill="D7D7D7"/>
                  <w:vAlign w:val="center"/>
                </w:tcPr>
                <w:p w14:paraId="6BF28724">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人为增加量</w:t>
                  </w:r>
                  <w:r>
                    <w:rPr>
                      <w:rFonts w:hint="default" w:ascii="Times New Roman" w:hAnsi="Times New Roman" w:cs="Times New Roman"/>
                      <w:sz w:val="18"/>
                      <w:szCs w:val="18"/>
                      <w:lang w:val="en-US" w:eastAsia="zh-CN"/>
                    </w:rPr>
                    <w:t>≤</w:t>
                  </w:r>
                  <w:r>
                    <w:rPr>
                      <w:rFonts w:hint="eastAsia" w:cs="Times New Roman"/>
                      <w:sz w:val="18"/>
                      <w:szCs w:val="18"/>
                      <w:lang w:val="en-US" w:eastAsia="zh-CN"/>
                    </w:rPr>
                    <w:t>10</w:t>
                  </w:r>
                </w:p>
              </w:tc>
              <w:tc>
                <w:tcPr>
                  <w:tcW w:w="1382" w:type="dxa"/>
                  <w:tcBorders>
                    <w:tl2br w:val="nil"/>
                    <w:tr2bl w:val="nil"/>
                  </w:tcBorders>
                  <w:vAlign w:val="center"/>
                </w:tcPr>
                <w:p w14:paraId="3D5CBA1A">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人为增加量</w:t>
                  </w:r>
                  <w:r>
                    <w:rPr>
                      <w:rFonts w:hint="default" w:ascii="Times New Roman" w:hAnsi="Times New Roman" w:cs="Times New Roman"/>
                      <w:sz w:val="18"/>
                      <w:szCs w:val="18"/>
                      <w:lang w:val="en-US" w:eastAsia="zh-CN"/>
                    </w:rPr>
                    <w:t>≤</w:t>
                  </w:r>
                  <w:r>
                    <w:rPr>
                      <w:rFonts w:hint="eastAsia" w:cs="Times New Roman"/>
                      <w:sz w:val="18"/>
                      <w:szCs w:val="18"/>
                      <w:lang w:val="en-US" w:eastAsia="zh-CN"/>
                    </w:rPr>
                    <w:t>100</w:t>
                  </w:r>
                </w:p>
              </w:tc>
              <w:tc>
                <w:tcPr>
                  <w:tcW w:w="1382" w:type="dxa"/>
                  <w:tcBorders>
                    <w:tl2br w:val="nil"/>
                    <w:tr2bl w:val="nil"/>
                  </w:tcBorders>
                  <w:vAlign w:val="center"/>
                </w:tcPr>
                <w:p w14:paraId="67ABA4DF">
                  <w:pPr>
                    <w:widowControl w:val="0"/>
                    <w:wordWrap/>
                    <w:adjustRightInd/>
                    <w:snapToGrid/>
                    <w:spacing w:line="240" w:lineRule="auto"/>
                    <w:ind w:firstLine="0" w:firstLineChars="0"/>
                    <w:jc w:val="center"/>
                    <w:textAlignment w:val="auto"/>
                    <w:rPr>
                      <w:rFonts w:hint="default" w:ascii="Times New Roman" w:hAnsi="Times New Roman" w:cs="Times New Roman"/>
                      <w:sz w:val="18"/>
                      <w:szCs w:val="18"/>
                      <w:lang w:val="en-US"/>
                    </w:rPr>
                  </w:pPr>
                  <w:r>
                    <w:rPr>
                      <w:rFonts w:hint="eastAsia" w:cs="Times New Roman"/>
                      <w:sz w:val="18"/>
                      <w:szCs w:val="18"/>
                      <w:lang w:val="en-US" w:eastAsia="zh-CN"/>
                    </w:rPr>
                    <w:t>人为增加量</w:t>
                  </w:r>
                  <w:r>
                    <w:rPr>
                      <w:rFonts w:hint="default" w:ascii="Times New Roman" w:hAnsi="Times New Roman" w:cs="Times New Roman"/>
                      <w:sz w:val="18"/>
                      <w:szCs w:val="18"/>
                      <w:lang w:val="en-US" w:eastAsia="zh-CN"/>
                    </w:rPr>
                    <w:t>≤</w:t>
                  </w:r>
                  <w:r>
                    <w:rPr>
                      <w:rFonts w:hint="eastAsia" w:cs="Times New Roman"/>
                      <w:sz w:val="18"/>
                      <w:szCs w:val="18"/>
                      <w:lang w:val="en-US" w:eastAsia="zh-CN"/>
                    </w:rPr>
                    <w:t>150</w:t>
                  </w:r>
                </w:p>
              </w:tc>
            </w:tr>
            <w:tr w14:paraId="70467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0A2741CA">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2</w:t>
                  </w:r>
                </w:p>
              </w:tc>
              <w:tc>
                <w:tcPr>
                  <w:tcW w:w="1954" w:type="dxa"/>
                  <w:tcBorders>
                    <w:tl2br w:val="nil"/>
                    <w:tr2bl w:val="nil"/>
                  </w:tcBorders>
                  <w:shd w:val="clear" w:color="auto" w:fill="auto"/>
                  <w:vAlign w:val="center"/>
                </w:tcPr>
                <w:p w14:paraId="65293F03">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水温（</w:t>
                  </w:r>
                  <w:r>
                    <w:rPr>
                      <w:rFonts w:hint="default" w:ascii="Times New Roman" w:hAnsi="Times New Roman" w:cs="Times New Roman"/>
                      <w:sz w:val="18"/>
                      <w:szCs w:val="18"/>
                      <w:lang w:val="en-US" w:eastAsia="zh-CN"/>
                    </w:rPr>
                    <w:t>℃</w:t>
                  </w:r>
                  <w:r>
                    <w:rPr>
                      <w:rFonts w:hint="eastAsia" w:cs="Times New Roman"/>
                      <w:sz w:val="18"/>
                      <w:szCs w:val="18"/>
                      <w:lang w:val="en-US" w:eastAsia="zh-CN"/>
                    </w:rPr>
                    <w:t>）</w:t>
                  </w:r>
                </w:p>
              </w:tc>
              <w:tc>
                <w:tcPr>
                  <w:tcW w:w="2764" w:type="dxa"/>
                  <w:gridSpan w:val="2"/>
                  <w:tcBorders>
                    <w:tl2br w:val="nil"/>
                    <w:tr2bl w:val="nil"/>
                  </w:tcBorders>
                  <w:shd w:val="clear" w:color="auto" w:fill="D7D7D7"/>
                  <w:vAlign w:val="center"/>
                </w:tcPr>
                <w:p w14:paraId="68B63571">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人为造成的海水升温夏季不超过当时当地1</w:t>
                  </w:r>
                  <w:r>
                    <w:rPr>
                      <w:rFonts w:hint="default" w:ascii="Times New Roman" w:hAnsi="Times New Roman" w:cs="Times New Roman"/>
                      <w:sz w:val="18"/>
                      <w:szCs w:val="18"/>
                      <w:lang w:val="en-US" w:eastAsia="zh-CN"/>
                    </w:rPr>
                    <w:t>℃</w:t>
                  </w:r>
                  <w:r>
                    <w:rPr>
                      <w:rFonts w:hint="eastAsia" w:ascii="Times New Roman" w:hAnsi="Times New Roman" w:cs="Times New Roman"/>
                      <w:sz w:val="18"/>
                      <w:szCs w:val="18"/>
                      <w:lang w:val="en-US" w:eastAsia="zh-CN"/>
                    </w:rPr>
                    <w:t>，其他季节不超过2</w:t>
                  </w:r>
                  <w:r>
                    <w:rPr>
                      <w:rFonts w:hint="default" w:ascii="Times New Roman" w:hAnsi="Times New Roman" w:cs="Times New Roman"/>
                      <w:sz w:val="18"/>
                      <w:szCs w:val="18"/>
                      <w:lang w:val="en-US" w:eastAsia="zh-CN"/>
                    </w:rPr>
                    <w:t>℃</w:t>
                  </w:r>
                </w:p>
              </w:tc>
              <w:tc>
                <w:tcPr>
                  <w:tcW w:w="2764" w:type="dxa"/>
                  <w:gridSpan w:val="2"/>
                  <w:tcBorders>
                    <w:tl2br w:val="nil"/>
                    <w:tr2bl w:val="nil"/>
                  </w:tcBorders>
                  <w:vAlign w:val="center"/>
                </w:tcPr>
                <w:p w14:paraId="2BC557CE">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人为造成的海水升温夏季不超过当时当地4</w:t>
                  </w:r>
                  <w:r>
                    <w:rPr>
                      <w:rFonts w:hint="default" w:ascii="Times New Roman" w:hAnsi="Times New Roman" w:cs="Times New Roman"/>
                      <w:sz w:val="18"/>
                      <w:szCs w:val="18"/>
                      <w:lang w:val="en-US" w:eastAsia="zh-CN"/>
                    </w:rPr>
                    <w:t>℃</w:t>
                  </w:r>
                </w:p>
              </w:tc>
            </w:tr>
            <w:tr w14:paraId="5D0F2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0408BBF6">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3</w:t>
                  </w:r>
                </w:p>
              </w:tc>
              <w:tc>
                <w:tcPr>
                  <w:tcW w:w="1954" w:type="dxa"/>
                  <w:tcBorders>
                    <w:tl2br w:val="nil"/>
                    <w:tr2bl w:val="nil"/>
                  </w:tcBorders>
                  <w:shd w:val="clear" w:color="auto" w:fill="auto"/>
                  <w:vAlign w:val="center"/>
                </w:tcPr>
                <w:p w14:paraId="1F5EEDBB">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pH值</w:t>
                  </w:r>
                </w:p>
              </w:tc>
              <w:tc>
                <w:tcPr>
                  <w:tcW w:w="2764" w:type="dxa"/>
                  <w:gridSpan w:val="2"/>
                  <w:tcBorders>
                    <w:tl2br w:val="nil"/>
                    <w:tr2bl w:val="nil"/>
                  </w:tcBorders>
                  <w:shd w:val="clear" w:color="auto" w:fill="D7D7D7"/>
                  <w:vAlign w:val="center"/>
                </w:tcPr>
                <w:p w14:paraId="3DD8D218">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7.5-8.5同时不超出该海域正常变动范围的0.2 pH单位</w:t>
                  </w:r>
                </w:p>
              </w:tc>
              <w:tc>
                <w:tcPr>
                  <w:tcW w:w="2764" w:type="dxa"/>
                  <w:gridSpan w:val="2"/>
                  <w:tcBorders>
                    <w:tl2br w:val="nil"/>
                    <w:tr2bl w:val="nil"/>
                  </w:tcBorders>
                  <w:vAlign w:val="center"/>
                </w:tcPr>
                <w:p w14:paraId="01D80279">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6.8-8.8同时不超出该海域正常变动范围的0.5 pH单位</w:t>
                  </w:r>
                </w:p>
              </w:tc>
            </w:tr>
            <w:tr w14:paraId="00349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61CA36F4">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954" w:type="dxa"/>
                  <w:tcBorders>
                    <w:tl2br w:val="nil"/>
                    <w:tr2bl w:val="nil"/>
                  </w:tcBorders>
                  <w:shd w:val="clear" w:color="auto" w:fill="auto"/>
                  <w:vAlign w:val="center"/>
                </w:tcPr>
                <w:p w14:paraId="79932200">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溶解氧</w:t>
                  </w:r>
                </w:p>
              </w:tc>
              <w:tc>
                <w:tcPr>
                  <w:tcW w:w="1382" w:type="dxa"/>
                  <w:tcBorders>
                    <w:tl2br w:val="nil"/>
                    <w:tr2bl w:val="nil"/>
                  </w:tcBorders>
                  <w:shd w:val="clear" w:color="auto" w:fill="auto"/>
                  <w:vAlign w:val="center"/>
                </w:tcPr>
                <w:p w14:paraId="6925675D">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6</w:t>
                  </w:r>
                </w:p>
              </w:tc>
              <w:tc>
                <w:tcPr>
                  <w:tcW w:w="1382" w:type="dxa"/>
                  <w:tcBorders>
                    <w:tl2br w:val="nil"/>
                    <w:tr2bl w:val="nil"/>
                  </w:tcBorders>
                  <w:shd w:val="clear" w:color="auto" w:fill="D7D7D7"/>
                  <w:vAlign w:val="center"/>
                </w:tcPr>
                <w:p w14:paraId="4F7E46C3">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1382" w:type="dxa"/>
                  <w:tcBorders>
                    <w:tl2br w:val="nil"/>
                    <w:tr2bl w:val="nil"/>
                  </w:tcBorders>
                  <w:vAlign w:val="center"/>
                </w:tcPr>
                <w:p w14:paraId="252E77F5">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382" w:type="dxa"/>
                  <w:tcBorders>
                    <w:tl2br w:val="nil"/>
                    <w:tr2bl w:val="nil"/>
                  </w:tcBorders>
                  <w:vAlign w:val="center"/>
                </w:tcPr>
                <w:p w14:paraId="33090431">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3</w:t>
                  </w:r>
                </w:p>
              </w:tc>
            </w:tr>
            <w:tr w14:paraId="45487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665ED4FA">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1954" w:type="dxa"/>
                  <w:tcBorders>
                    <w:tl2br w:val="nil"/>
                    <w:tr2bl w:val="nil"/>
                  </w:tcBorders>
                  <w:shd w:val="clear" w:color="auto" w:fill="auto"/>
                  <w:vAlign w:val="center"/>
                </w:tcPr>
                <w:p w14:paraId="31B1ED07">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COD</w:t>
                  </w:r>
                  <w:r>
                    <w:rPr>
                      <w:rFonts w:hint="default" w:ascii="Times New Roman" w:hAnsi="Times New Roman" w:cs="Times New Roman"/>
                      <w:sz w:val="18"/>
                      <w:szCs w:val="18"/>
                      <w:lang w:val="en-US" w:eastAsia="zh-CN"/>
                    </w:rPr>
                    <w:t>≤</w:t>
                  </w:r>
                </w:p>
              </w:tc>
              <w:tc>
                <w:tcPr>
                  <w:tcW w:w="1382" w:type="dxa"/>
                  <w:tcBorders>
                    <w:tl2br w:val="nil"/>
                    <w:tr2bl w:val="nil"/>
                  </w:tcBorders>
                  <w:shd w:val="clear" w:color="auto" w:fill="auto"/>
                  <w:vAlign w:val="center"/>
                </w:tcPr>
                <w:p w14:paraId="7FF0908E">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2</w:t>
                  </w:r>
                </w:p>
              </w:tc>
              <w:tc>
                <w:tcPr>
                  <w:tcW w:w="1382" w:type="dxa"/>
                  <w:tcBorders>
                    <w:tl2br w:val="nil"/>
                    <w:tr2bl w:val="nil"/>
                  </w:tcBorders>
                  <w:shd w:val="clear" w:color="auto" w:fill="D7D7D7"/>
                  <w:vAlign w:val="center"/>
                </w:tcPr>
                <w:p w14:paraId="2D4834D6">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3</w:t>
                  </w:r>
                </w:p>
              </w:tc>
              <w:tc>
                <w:tcPr>
                  <w:tcW w:w="1382" w:type="dxa"/>
                  <w:tcBorders>
                    <w:tl2br w:val="nil"/>
                    <w:tr2bl w:val="nil"/>
                  </w:tcBorders>
                  <w:vAlign w:val="center"/>
                </w:tcPr>
                <w:p w14:paraId="7D1AC2FA">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382" w:type="dxa"/>
                  <w:tcBorders>
                    <w:tl2br w:val="nil"/>
                    <w:tr2bl w:val="nil"/>
                  </w:tcBorders>
                  <w:vAlign w:val="center"/>
                </w:tcPr>
                <w:p w14:paraId="591CF9FC">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w:t>
                  </w:r>
                </w:p>
              </w:tc>
            </w:tr>
            <w:tr w14:paraId="70C0F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39599EC2">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6</w:t>
                  </w:r>
                </w:p>
              </w:tc>
              <w:tc>
                <w:tcPr>
                  <w:tcW w:w="1954" w:type="dxa"/>
                  <w:tcBorders>
                    <w:tl2br w:val="nil"/>
                    <w:tr2bl w:val="nil"/>
                  </w:tcBorders>
                  <w:shd w:val="clear" w:color="auto" w:fill="auto"/>
                  <w:vAlign w:val="center"/>
                </w:tcPr>
                <w:p w14:paraId="2D669DB9">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BOD</w:t>
                  </w:r>
                  <w:r>
                    <w:rPr>
                      <w:rFonts w:hint="eastAsia" w:cs="Times New Roman"/>
                      <w:sz w:val="18"/>
                      <w:szCs w:val="18"/>
                      <w:vertAlign w:val="subscript"/>
                      <w:lang w:val="en-US" w:eastAsia="zh-CN"/>
                    </w:rPr>
                    <w:t>5</w:t>
                  </w:r>
                  <w:r>
                    <w:rPr>
                      <w:rFonts w:hint="default" w:ascii="Times New Roman" w:hAnsi="Times New Roman" w:cs="Times New Roman"/>
                      <w:sz w:val="18"/>
                      <w:szCs w:val="18"/>
                      <w:lang w:val="en-US" w:eastAsia="zh-CN"/>
                    </w:rPr>
                    <w:t>≤</w:t>
                  </w:r>
                </w:p>
              </w:tc>
              <w:tc>
                <w:tcPr>
                  <w:tcW w:w="1382" w:type="dxa"/>
                  <w:tcBorders>
                    <w:tl2br w:val="nil"/>
                    <w:tr2bl w:val="nil"/>
                  </w:tcBorders>
                  <w:shd w:val="clear" w:color="auto" w:fill="auto"/>
                  <w:vAlign w:val="center"/>
                </w:tcPr>
                <w:p w14:paraId="2BC52B63">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1</w:t>
                  </w:r>
                </w:p>
              </w:tc>
              <w:tc>
                <w:tcPr>
                  <w:tcW w:w="1382" w:type="dxa"/>
                  <w:tcBorders>
                    <w:tl2br w:val="nil"/>
                    <w:tr2bl w:val="nil"/>
                  </w:tcBorders>
                  <w:shd w:val="clear" w:color="auto" w:fill="D7D7D7"/>
                  <w:vAlign w:val="center"/>
                </w:tcPr>
                <w:p w14:paraId="1CE5B571">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3</w:t>
                  </w:r>
                </w:p>
              </w:tc>
              <w:tc>
                <w:tcPr>
                  <w:tcW w:w="1382" w:type="dxa"/>
                  <w:tcBorders>
                    <w:tl2br w:val="nil"/>
                    <w:tr2bl w:val="nil"/>
                  </w:tcBorders>
                  <w:vAlign w:val="center"/>
                </w:tcPr>
                <w:p w14:paraId="5261AC6F">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382" w:type="dxa"/>
                  <w:tcBorders>
                    <w:tl2br w:val="nil"/>
                    <w:tr2bl w:val="nil"/>
                  </w:tcBorders>
                  <w:vAlign w:val="center"/>
                </w:tcPr>
                <w:p w14:paraId="687A171B">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w:t>
                  </w:r>
                </w:p>
              </w:tc>
            </w:tr>
            <w:tr w14:paraId="0A0A1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57DF799F">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7</w:t>
                  </w:r>
                </w:p>
              </w:tc>
              <w:tc>
                <w:tcPr>
                  <w:tcW w:w="1954" w:type="dxa"/>
                  <w:tcBorders>
                    <w:tl2br w:val="nil"/>
                    <w:tr2bl w:val="nil"/>
                  </w:tcBorders>
                  <w:shd w:val="clear" w:color="auto" w:fill="auto"/>
                  <w:vAlign w:val="center"/>
                </w:tcPr>
                <w:p w14:paraId="02B4445D">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无机氮（以N计）</w:t>
                  </w:r>
                </w:p>
              </w:tc>
              <w:tc>
                <w:tcPr>
                  <w:tcW w:w="1382" w:type="dxa"/>
                  <w:tcBorders>
                    <w:tl2br w:val="nil"/>
                    <w:tr2bl w:val="nil"/>
                  </w:tcBorders>
                  <w:shd w:val="clear" w:color="auto" w:fill="auto"/>
                  <w:vAlign w:val="center"/>
                </w:tcPr>
                <w:p w14:paraId="1DA17268">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0.20</w:t>
                  </w:r>
                </w:p>
              </w:tc>
              <w:tc>
                <w:tcPr>
                  <w:tcW w:w="1382" w:type="dxa"/>
                  <w:tcBorders>
                    <w:tl2br w:val="nil"/>
                    <w:tr2bl w:val="nil"/>
                  </w:tcBorders>
                  <w:shd w:val="clear" w:color="auto" w:fill="D7D7D7"/>
                  <w:vAlign w:val="center"/>
                </w:tcPr>
                <w:p w14:paraId="3BA1DB5D">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0.30</w:t>
                  </w:r>
                </w:p>
              </w:tc>
              <w:tc>
                <w:tcPr>
                  <w:tcW w:w="1382" w:type="dxa"/>
                  <w:tcBorders>
                    <w:tl2br w:val="nil"/>
                    <w:tr2bl w:val="nil"/>
                  </w:tcBorders>
                  <w:vAlign w:val="center"/>
                </w:tcPr>
                <w:p w14:paraId="364F8684">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0.40</w:t>
                  </w:r>
                </w:p>
              </w:tc>
              <w:tc>
                <w:tcPr>
                  <w:tcW w:w="1382" w:type="dxa"/>
                  <w:tcBorders>
                    <w:tl2br w:val="nil"/>
                    <w:tr2bl w:val="nil"/>
                  </w:tcBorders>
                  <w:vAlign w:val="center"/>
                </w:tcPr>
                <w:p w14:paraId="5A324354">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0.50</w:t>
                  </w:r>
                </w:p>
              </w:tc>
            </w:tr>
            <w:tr w14:paraId="3CB0E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44A8872B">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8</w:t>
                  </w:r>
                </w:p>
              </w:tc>
              <w:tc>
                <w:tcPr>
                  <w:tcW w:w="1954" w:type="dxa"/>
                  <w:tcBorders>
                    <w:tl2br w:val="nil"/>
                    <w:tr2bl w:val="nil"/>
                  </w:tcBorders>
                  <w:shd w:val="clear" w:color="auto" w:fill="auto"/>
                  <w:vAlign w:val="center"/>
                </w:tcPr>
                <w:p w14:paraId="645167CD">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活性磷酸盐（以P计）</w:t>
                  </w:r>
                </w:p>
              </w:tc>
              <w:tc>
                <w:tcPr>
                  <w:tcW w:w="1382" w:type="dxa"/>
                  <w:tcBorders>
                    <w:tl2br w:val="nil"/>
                    <w:tr2bl w:val="nil"/>
                  </w:tcBorders>
                  <w:shd w:val="clear" w:color="auto" w:fill="auto"/>
                  <w:vAlign w:val="center"/>
                </w:tcPr>
                <w:p w14:paraId="13E748C5">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0.15</w:t>
                  </w:r>
                </w:p>
              </w:tc>
              <w:tc>
                <w:tcPr>
                  <w:tcW w:w="2764" w:type="dxa"/>
                  <w:gridSpan w:val="2"/>
                  <w:tcBorders>
                    <w:tl2br w:val="nil"/>
                    <w:tr2bl w:val="nil"/>
                  </w:tcBorders>
                  <w:shd w:val="clear" w:color="auto" w:fill="D7D7D7"/>
                  <w:vAlign w:val="center"/>
                </w:tcPr>
                <w:p w14:paraId="287460C2">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0.30</w:t>
                  </w:r>
                </w:p>
              </w:tc>
              <w:tc>
                <w:tcPr>
                  <w:tcW w:w="1382" w:type="dxa"/>
                  <w:tcBorders>
                    <w:tl2br w:val="nil"/>
                    <w:tr2bl w:val="nil"/>
                  </w:tcBorders>
                  <w:vAlign w:val="center"/>
                </w:tcPr>
                <w:p w14:paraId="3A0E3B20">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0.045</w:t>
                  </w:r>
                </w:p>
              </w:tc>
            </w:tr>
            <w:tr w14:paraId="0F54F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62CC2FF5">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9</w:t>
                  </w:r>
                </w:p>
              </w:tc>
              <w:tc>
                <w:tcPr>
                  <w:tcW w:w="1954" w:type="dxa"/>
                  <w:tcBorders>
                    <w:tl2br w:val="nil"/>
                    <w:tr2bl w:val="nil"/>
                  </w:tcBorders>
                  <w:shd w:val="clear" w:color="auto" w:fill="auto"/>
                  <w:vAlign w:val="center"/>
                </w:tcPr>
                <w:p w14:paraId="62117132">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铅</w:t>
                  </w:r>
                </w:p>
              </w:tc>
              <w:tc>
                <w:tcPr>
                  <w:tcW w:w="1382" w:type="dxa"/>
                  <w:tcBorders>
                    <w:tl2br w:val="nil"/>
                    <w:tr2bl w:val="nil"/>
                  </w:tcBorders>
                  <w:shd w:val="clear" w:color="auto" w:fill="auto"/>
                  <w:vAlign w:val="center"/>
                </w:tcPr>
                <w:p w14:paraId="233F74D7">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0.001</w:t>
                  </w:r>
                </w:p>
              </w:tc>
              <w:tc>
                <w:tcPr>
                  <w:tcW w:w="1382" w:type="dxa"/>
                  <w:tcBorders>
                    <w:tl2br w:val="nil"/>
                    <w:tr2bl w:val="nil"/>
                  </w:tcBorders>
                  <w:shd w:val="clear" w:color="auto" w:fill="D7D7D7"/>
                  <w:vAlign w:val="center"/>
                </w:tcPr>
                <w:p w14:paraId="37A50AAD">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w:t>
                  </w:r>
                </w:p>
              </w:tc>
              <w:tc>
                <w:tcPr>
                  <w:tcW w:w="1382" w:type="dxa"/>
                  <w:tcBorders>
                    <w:tl2br w:val="nil"/>
                    <w:tr2bl w:val="nil"/>
                  </w:tcBorders>
                  <w:vAlign w:val="center"/>
                </w:tcPr>
                <w:p w14:paraId="4ED9328E">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0.010</w:t>
                  </w:r>
                </w:p>
              </w:tc>
              <w:tc>
                <w:tcPr>
                  <w:tcW w:w="1382" w:type="dxa"/>
                  <w:tcBorders>
                    <w:tl2br w:val="nil"/>
                    <w:tr2bl w:val="nil"/>
                  </w:tcBorders>
                  <w:vAlign w:val="center"/>
                </w:tcPr>
                <w:p w14:paraId="1F0203C6">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0.050</w:t>
                  </w:r>
                </w:p>
              </w:tc>
            </w:tr>
            <w:tr w14:paraId="5504C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tcBorders>
                    <w:tl2br w:val="nil"/>
                    <w:tr2bl w:val="nil"/>
                  </w:tcBorders>
                  <w:shd w:val="clear" w:color="auto" w:fill="auto"/>
                  <w:vAlign w:val="center"/>
                </w:tcPr>
                <w:p w14:paraId="50881252">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10</w:t>
                  </w:r>
                </w:p>
              </w:tc>
              <w:tc>
                <w:tcPr>
                  <w:tcW w:w="1954" w:type="dxa"/>
                  <w:tcBorders>
                    <w:tl2br w:val="nil"/>
                    <w:tr2bl w:val="nil"/>
                  </w:tcBorders>
                  <w:shd w:val="clear" w:color="auto" w:fill="auto"/>
                  <w:vAlign w:val="center"/>
                </w:tcPr>
                <w:p w14:paraId="7F4D2B73">
                  <w:pPr>
                    <w:widowControl w:val="0"/>
                    <w:wordWrap/>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石油类</w:t>
                  </w:r>
                </w:p>
              </w:tc>
              <w:tc>
                <w:tcPr>
                  <w:tcW w:w="2764" w:type="dxa"/>
                  <w:gridSpan w:val="2"/>
                  <w:tcBorders>
                    <w:tl2br w:val="nil"/>
                    <w:tr2bl w:val="nil"/>
                  </w:tcBorders>
                  <w:shd w:val="clear" w:color="auto" w:fill="D7D7D7"/>
                  <w:vAlign w:val="center"/>
                </w:tcPr>
                <w:p w14:paraId="5DEDD70D">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0.05</w:t>
                  </w:r>
                </w:p>
              </w:tc>
              <w:tc>
                <w:tcPr>
                  <w:tcW w:w="1382" w:type="dxa"/>
                  <w:tcBorders>
                    <w:tl2br w:val="nil"/>
                    <w:tr2bl w:val="nil"/>
                  </w:tcBorders>
                  <w:vAlign w:val="center"/>
                </w:tcPr>
                <w:p w14:paraId="74CC26B0">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0.03</w:t>
                  </w:r>
                </w:p>
              </w:tc>
              <w:tc>
                <w:tcPr>
                  <w:tcW w:w="1382" w:type="dxa"/>
                  <w:tcBorders>
                    <w:tl2br w:val="nil"/>
                    <w:tr2bl w:val="nil"/>
                  </w:tcBorders>
                  <w:vAlign w:val="center"/>
                </w:tcPr>
                <w:p w14:paraId="7DB0277C">
                  <w:pPr>
                    <w:widowControl w:val="0"/>
                    <w:wordWrap/>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0.50</w:t>
                  </w:r>
                </w:p>
              </w:tc>
            </w:tr>
            <w:tr w14:paraId="55D48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2" w:type="dxa"/>
                  <w:gridSpan w:val="6"/>
                  <w:tcBorders>
                    <w:tl2br w:val="nil"/>
                    <w:tr2bl w:val="nil"/>
                  </w:tcBorders>
                  <w:vAlign w:val="center"/>
                </w:tcPr>
                <w:p w14:paraId="3B537B52">
                  <w:pPr>
                    <w:widowControl w:val="0"/>
                    <w:wordWrap/>
                    <w:adjustRightInd/>
                    <w:snapToGrid/>
                    <w:spacing w:line="240" w:lineRule="auto"/>
                    <w:ind w:firstLine="0" w:firstLineChars="0"/>
                    <w:jc w:val="left"/>
                    <w:textAlignment w:val="auto"/>
                    <w:rPr>
                      <w:rFonts w:hint="default" w:ascii="Times New Roman" w:hAnsi="Times New Roman" w:cs="Times New Roman"/>
                      <w:sz w:val="18"/>
                      <w:szCs w:val="18"/>
                      <w:lang w:val="en-US"/>
                    </w:rPr>
                  </w:pPr>
                  <w:r>
                    <w:rPr>
                      <w:rFonts w:hint="eastAsia" w:cs="Times New Roman"/>
                      <w:sz w:val="18"/>
                      <w:szCs w:val="18"/>
                      <w:lang w:val="en-US" w:eastAsia="zh-CN"/>
                    </w:rPr>
                    <w:t>注：pH值无量纲，其他项目单位为mg/L</w:t>
                  </w:r>
                </w:p>
              </w:tc>
            </w:tr>
          </w:tbl>
          <w:p w14:paraId="228AC250">
            <w:pPr>
              <w:pStyle w:val="11"/>
              <w:widowControl w:val="0"/>
              <w:numPr>
                <w:ilvl w:val="0"/>
                <w:numId w:val="0"/>
              </w:numPr>
              <w:wordWrap/>
              <w:adjustRightInd/>
              <w:snapToGrid w:val="0"/>
              <w:spacing w:beforeLines="50" w:line="360" w:lineRule="auto"/>
              <w:ind w:left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（2）水环境质量现状</w:t>
            </w:r>
          </w:p>
          <w:p w14:paraId="33780BD6">
            <w:pPr>
              <w:widowControl/>
              <w:pBdr>
                <w:top w:val="none" w:color="auto" w:sz="0" w:space="0"/>
                <w:left w:val="none" w:color="auto" w:sz="0" w:space="0"/>
                <w:bottom w:val="none" w:color="auto" w:sz="0" w:space="0"/>
                <w:right w:val="none" w:color="auto" w:sz="0" w:space="0"/>
              </w:pBdr>
              <w:wordWrap w:val="0"/>
              <w:adjustRightInd/>
              <w:snapToGrid/>
              <w:spacing w:beforeAutospacing="0" w:after="0" w:afterAutospacing="0" w:line="360" w:lineRule="auto"/>
              <w:ind w:right="0" w:firstLine="420" w:firstLineChars="200"/>
              <w:jc w:val="left"/>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根</w:t>
            </w:r>
            <w:r>
              <w:rPr>
                <w:rFonts w:hint="default" w:ascii="Times New Roman" w:hAnsi="Times New Roman" w:eastAsia="宋体" w:cs="Times New Roman"/>
                <w:kern w:val="2"/>
                <w:sz w:val="21"/>
                <w:szCs w:val="24"/>
                <w:lang w:val="en-US" w:eastAsia="zh-CN" w:bidi="ar-SA"/>
              </w:rPr>
              <w:t>根据莆田市生态环境局发布的《202</w:t>
            </w:r>
            <w:r>
              <w:rPr>
                <w:rFonts w:hint="eastAsia" w:cs="Times New Roman"/>
                <w:kern w:val="2"/>
                <w:sz w:val="21"/>
                <w:szCs w:val="24"/>
                <w:lang w:val="en-US" w:eastAsia="zh-CN" w:bidi="ar-SA"/>
              </w:rPr>
              <w:t>3</w:t>
            </w:r>
            <w:r>
              <w:rPr>
                <w:rFonts w:hint="default" w:ascii="Times New Roman" w:hAnsi="Times New Roman" w:eastAsia="宋体" w:cs="Times New Roman"/>
                <w:kern w:val="2"/>
                <w:sz w:val="21"/>
                <w:szCs w:val="24"/>
                <w:lang w:val="en-US" w:eastAsia="zh-CN" w:bidi="ar-SA"/>
              </w:rPr>
              <w:t>年莆田市环境质量状况》</w:t>
            </w:r>
            <w:r>
              <w:rPr>
                <w:rFonts w:hint="eastAsia" w:ascii="Times New Roman" w:hAnsi="Times New Roman" w:eastAsia="宋体" w:cs="Times New Roman"/>
                <w:kern w:val="2"/>
                <w:sz w:val="21"/>
                <w:szCs w:val="24"/>
                <w:lang w:val="en-US" w:eastAsia="zh-CN" w:bidi="ar-SA"/>
              </w:rPr>
              <w:t>，2023年莆田市近岸海域（22个站位）水质良好。以站位面积算，一、二类海水面积比例为96.2%，同比上升9.2个百分点。以站位比例算，一、二类水质比例为86.4%，三类比例为4.5%，四类比例为9.1%，同比均持平。主要污染指标为无机氮和活性磷酸盐。</w:t>
            </w:r>
          </w:p>
          <w:p w14:paraId="6DD01B94">
            <w:pPr>
              <w:widowControl w:val="0"/>
              <w:wordWrap/>
              <w:adjustRightInd w:val="0"/>
              <w:snapToGrid w:val="0"/>
              <w:spacing w:line="360" w:lineRule="auto"/>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即由统计信息可知，本项目位于秀屿木材加工区，项目区域地表水为平海湾，水质可符合达到《海水水质标准》GB3097-1997 第二类标准。</w:t>
            </w:r>
          </w:p>
          <w:p w14:paraId="2F6A5F0D">
            <w:pPr>
              <w:widowControl w:val="0"/>
              <w:wordWrap/>
              <w:adjustRightInd/>
              <w:snapToGrid/>
              <w:spacing w:line="360" w:lineRule="auto"/>
              <w:ind w:left="0" w:leftChars="0" w:firstLine="0" w:firstLineChars="0"/>
              <w:textAlignment w:val="auto"/>
              <w:rPr>
                <w:rFonts w:hint="default" w:ascii="Times New Roman" w:hAnsi="Times New Roman" w:cs="Times New Roman"/>
                <w:b/>
                <w:bCs/>
                <w:lang w:val="en-US" w:eastAsia="zh-CN"/>
              </w:rPr>
            </w:pPr>
            <w:r>
              <w:rPr>
                <w:rFonts w:hint="eastAsia" w:cs="Times New Roman"/>
                <w:b/>
                <w:bCs/>
                <w:lang w:val="en-US" w:eastAsia="zh-CN"/>
              </w:rPr>
              <w:t>3、</w:t>
            </w:r>
            <w:r>
              <w:rPr>
                <w:rFonts w:hint="default" w:ascii="Times New Roman" w:hAnsi="Times New Roman" w:cs="Times New Roman"/>
                <w:b/>
                <w:bCs/>
                <w:lang w:val="en-US" w:eastAsia="zh-CN"/>
              </w:rPr>
              <w:t>声环境</w:t>
            </w:r>
          </w:p>
          <w:p w14:paraId="32859103">
            <w:pPr>
              <w:widowControl w:val="0"/>
              <w:wordWrap/>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（1）声环境功能区划及质量标准</w:t>
            </w:r>
          </w:p>
          <w:p w14:paraId="4BB8B2C8">
            <w:pPr>
              <w:widowControl/>
              <w:spacing w:line="360" w:lineRule="auto"/>
              <w:ind w:firstLine="420" w:firstLineChars="200"/>
              <w:rPr>
                <w:rFonts w:hint="default" w:ascii="Times New Roman" w:hAnsi="Times New Roman" w:cs="Times New Roman"/>
              </w:rPr>
            </w:pPr>
            <w:r>
              <w:rPr>
                <w:rFonts w:hint="default" w:ascii="Times New Roman" w:hAnsi="Times New Roman" w:cs="Times New Roman"/>
                <w:lang w:val="en-US" w:eastAsia="zh-CN"/>
              </w:rPr>
              <w:t>项目位于</w:t>
            </w:r>
            <w:r>
              <w:rPr>
                <w:rFonts w:hint="default" w:ascii="Times New Roman" w:hAnsi="Times New Roman" w:cs="Times New Roman"/>
                <w:color w:val="auto"/>
              </w:rPr>
              <w:t>福建省</w:t>
            </w:r>
            <w:r>
              <w:rPr>
                <w:rFonts w:hint="eastAsia" w:cs="Times New Roman"/>
                <w:color w:val="auto"/>
                <w:lang w:eastAsia="zh-CN"/>
              </w:rPr>
              <w:t>莆田市秀屿区东峤镇前沁村前沁113</w:t>
            </w:r>
            <w:r>
              <w:rPr>
                <w:rFonts w:hint="eastAsia" w:cs="Times New Roman"/>
                <w:color w:val="auto"/>
                <w:lang w:val="en-US" w:eastAsia="zh-CN"/>
              </w:rPr>
              <w:t>3</w:t>
            </w:r>
            <w:r>
              <w:rPr>
                <w:rFonts w:hint="eastAsia" w:cs="Times New Roman"/>
                <w:color w:val="auto"/>
                <w:lang w:eastAsia="zh-CN"/>
              </w:rPr>
              <w:t>号</w:t>
            </w:r>
            <w:r>
              <w:rPr>
                <w:rFonts w:hint="default" w:ascii="Times New Roman" w:hAnsi="Times New Roman" w:cs="Times New Roman"/>
                <w:lang w:eastAsia="zh-CN"/>
              </w:rPr>
              <w:t>，</w:t>
            </w:r>
            <w:r>
              <w:rPr>
                <w:rFonts w:hint="default" w:ascii="Times New Roman" w:hAnsi="Times New Roman" w:cs="Times New Roman"/>
                <w:lang w:val="en-US" w:eastAsia="zh-CN"/>
              </w:rPr>
              <w:t>区域噪声划分为</w:t>
            </w:r>
            <w:r>
              <w:rPr>
                <w:rFonts w:hint="eastAsia" w:cs="Times New Roman"/>
                <w:lang w:val="en-US" w:eastAsia="zh-CN"/>
              </w:rPr>
              <w:t>3</w:t>
            </w:r>
            <w:r>
              <w:rPr>
                <w:rFonts w:hint="default" w:ascii="Times New Roman" w:hAnsi="Times New Roman" w:cs="Times New Roman"/>
                <w:lang w:val="en-US" w:eastAsia="zh-CN"/>
              </w:rPr>
              <w:t>类区，执行</w:t>
            </w:r>
            <w:r>
              <w:rPr>
                <w:rFonts w:hint="default" w:ascii="Times New Roman" w:hAnsi="Times New Roman" w:cs="Times New Roman"/>
              </w:rPr>
              <w:t>GB3096-2008《声环境质量标准》中的</w:t>
            </w:r>
            <w:r>
              <w:rPr>
                <w:rFonts w:hint="eastAsia" w:cs="Times New Roman"/>
                <w:lang w:val="en-US" w:eastAsia="zh-CN"/>
              </w:rPr>
              <w:t>3</w:t>
            </w:r>
            <w:r>
              <w:rPr>
                <w:rFonts w:hint="default" w:ascii="Times New Roman" w:hAnsi="Times New Roman" w:cs="Times New Roman"/>
              </w:rPr>
              <w:t>类标准。</w:t>
            </w:r>
            <w:r>
              <w:rPr>
                <w:rFonts w:hint="default" w:ascii="Times New Roman" w:hAnsi="Times New Roman" w:cs="Times New Roman"/>
                <w:lang w:eastAsia="zh-CN"/>
              </w:rPr>
              <w:t>执行</w:t>
            </w:r>
            <w:r>
              <w:rPr>
                <w:rFonts w:hint="eastAsia" w:cs="Times New Roman"/>
                <w:lang w:val="en-US" w:eastAsia="zh-CN"/>
              </w:rPr>
              <w:t>标准</w:t>
            </w:r>
            <w:r>
              <w:rPr>
                <w:rFonts w:hint="default" w:ascii="Times New Roman" w:hAnsi="Times New Roman" w:cs="Times New Roman"/>
              </w:rPr>
              <w:t>详见表3-</w:t>
            </w:r>
            <w:r>
              <w:rPr>
                <w:rFonts w:hint="eastAsia" w:cs="Times New Roman"/>
                <w:lang w:val="en-US" w:eastAsia="zh-CN"/>
              </w:rPr>
              <w:t>4</w:t>
            </w:r>
            <w:r>
              <w:rPr>
                <w:rFonts w:hint="default" w:ascii="Times New Roman" w:hAnsi="Times New Roman" w:cs="Times New Roman"/>
              </w:rPr>
              <w:t>。</w:t>
            </w:r>
          </w:p>
          <w:p w14:paraId="70BA6D01">
            <w:pPr>
              <w:widowControl w:val="0"/>
              <w:wordWrap/>
              <w:adjustRightInd/>
              <w:snapToGrid/>
              <w:spacing w:line="360" w:lineRule="auto"/>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表3-</w:t>
            </w:r>
            <w:r>
              <w:rPr>
                <w:rFonts w:hint="eastAsia" w:cs="Times New Roman"/>
                <w:b/>
                <w:bCs/>
                <w:lang w:val="en-US" w:eastAsia="zh-CN"/>
              </w:rPr>
              <w:t xml:space="preserve">4  </w:t>
            </w:r>
            <w:r>
              <w:rPr>
                <w:rFonts w:hint="default" w:ascii="Times New Roman" w:hAnsi="Times New Roman" w:cs="Times New Roman"/>
                <w:b/>
                <w:bCs/>
                <w:lang w:val="en-US" w:eastAsia="zh-CN"/>
              </w:rPr>
              <w:t>声环境质量标准.单位.dB（A）</w:t>
            </w:r>
          </w:p>
          <w:tbl>
            <w:tblPr>
              <w:tblStyle w:val="17"/>
              <w:tblW w:w="8055" w:type="dxa"/>
              <w:tblInd w:w="12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15"/>
              <w:gridCol w:w="915"/>
              <w:gridCol w:w="825"/>
              <w:gridCol w:w="3240"/>
            </w:tblGrid>
            <w:tr w14:paraId="5D554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60" w:type="dxa"/>
                  <w:vAlign w:val="center"/>
                </w:tcPr>
                <w:p w14:paraId="52F68FB6">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适用区域</w:t>
                  </w:r>
                </w:p>
              </w:tc>
              <w:tc>
                <w:tcPr>
                  <w:tcW w:w="915" w:type="dxa"/>
                  <w:vAlign w:val="center"/>
                </w:tcPr>
                <w:p w14:paraId="4C3C65BC">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915" w:type="dxa"/>
                  <w:vAlign w:val="center"/>
                </w:tcPr>
                <w:p w14:paraId="412BE45F">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昼间</w:t>
                  </w:r>
                </w:p>
              </w:tc>
              <w:tc>
                <w:tcPr>
                  <w:tcW w:w="825" w:type="dxa"/>
                  <w:vAlign w:val="center"/>
                </w:tcPr>
                <w:p w14:paraId="004DE44C">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夜间</w:t>
                  </w:r>
                </w:p>
              </w:tc>
              <w:tc>
                <w:tcPr>
                  <w:tcW w:w="3240" w:type="dxa"/>
                  <w:vAlign w:val="center"/>
                </w:tcPr>
                <w:p w14:paraId="31D4AE7A">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标准来源</w:t>
                  </w:r>
                </w:p>
              </w:tc>
            </w:tr>
            <w:tr w14:paraId="052B38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82" w:hRule="atLeast"/>
              </w:trPr>
              <w:tc>
                <w:tcPr>
                  <w:tcW w:w="2160" w:type="dxa"/>
                  <w:vAlign w:val="center"/>
                </w:tcPr>
                <w:p w14:paraId="328D047A">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厂界</w:t>
                  </w:r>
                </w:p>
              </w:tc>
              <w:tc>
                <w:tcPr>
                  <w:tcW w:w="915" w:type="dxa"/>
                  <w:vAlign w:val="center"/>
                </w:tcPr>
                <w:p w14:paraId="5AECD864">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w:t>
                  </w:r>
                </w:p>
              </w:tc>
              <w:tc>
                <w:tcPr>
                  <w:tcW w:w="915" w:type="dxa"/>
                  <w:vAlign w:val="center"/>
                </w:tcPr>
                <w:p w14:paraId="301063CA">
                  <w:pPr>
                    <w:pStyle w:val="24"/>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6</w:t>
                  </w:r>
                  <w:r>
                    <w:rPr>
                      <w:rFonts w:hint="eastAsia" w:ascii="Times New Roman" w:hAnsi="Times New Roman" w:cs="Times New Roman"/>
                      <w:sz w:val="18"/>
                      <w:szCs w:val="18"/>
                      <w:lang w:val="en-US" w:eastAsia="zh-CN"/>
                    </w:rPr>
                    <w:t>5</w:t>
                  </w:r>
                </w:p>
              </w:tc>
              <w:tc>
                <w:tcPr>
                  <w:tcW w:w="825" w:type="dxa"/>
                  <w:vAlign w:val="center"/>
                </w:tcPr>
                <w:p w14:paraId="2634EE21">
                  <w:pPr>
                    <w:pStyle w:val="24"/>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5</w:t>
                  </w:r>
                  <w:r>
                    <w:rPr>
                      <w:rFonts w:hint="eastAsia" w:ascii="Times New Roman" w:hAnsi="Times New Roman" w:cs="Times New Roman"/>
                      <w:sz w:val="18"/>
                      <w:szCs w:val="18"/>
                      <w:lang w:val="en-US" w:eastAsia="zh-CN"/>
                    </w:rPr>
                    <w:t>5</w:t>
                  </w:r>
                </w:p>
              </w:tc>
              <w:tc>
                <w:tcPr>
                  <w:tcW w:w="3240" w:type="dxa"/>
                  <w:vAlign w:val="center"/>
                </w:tcPr>
                <w:p w14:paraId="55EB9DE4">
                  <w:pPr>
                    <w:pStyle w:val="24"/>
                    <w:rPr>
                      <w:rFonts w:hint="default" w:ascii="Times New Roman" w:hAnsi="Times New Roman" w:cs="Times New Roman"/>
                      <w:sz w:val="18"/>
                      <w:szCs w:val="18"/>
                    </w:rPr>
                  </w:pPr>
                  <w:r>
                    <w:rPr>
                      <w:rFonts w:hint="default" w:ascii="Times New Roman" w:hAnsi="Times New Roman" w:cs="Times New Roman"/>
                      <w:sz w:val="18"/>
                      <w:szCs w:val="18"/>
                      <w:lang w:eastAsia="zh-CN"/>
                    </w:rPr>
                    <w:t>GB3096-2008《声环境质量标准》</w:t>
                  </w:r>
                </w:p>
              </w:tc>
            </w:tr>
          </w:tbl>
          <w:p w14:paraId="4BFEDBE5">
            <w:pPr>
              <w:widowControl w:val="0"/>
              <w:numPr>
                <w:ilvl w:val="0"/>
                <w:numId w:val="6"/>
              </w:numPr>
              <w:wordWrap/>
              <w:adjustRightInd/>
              <w:snapToGrid/>
              <w:spacing w:line="360" w:lineRule="auto"/>
              <w:ind w:left="0" w:leftChars="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声环境</w:t>
            </w:r>
            <w:r>
              <w:rPr>
                <w:rFonts w:hint="eastAsia" w:cs="Times New Roman"/>
                <w:color w:val="auto"/>
                <w:lang w:val="en-US" w:eastAsia="zh-CN"/>
              </w:rPr>
              <w:t>质量现状</w:t>
            </w:r>
          </w:p>
          <w:p w14:paraId="21E7607F">
            <w:pPr>
              <w:pStyle w:val="11"/>
              <w:widowControl w:val="0"/>
              <w:numPr>
                <w:ilvl w:val="0"/>
                <w:numId w:val="0"/>
              </w:numPr>
              <w:wordWrap/>
              <w:adjustRightInd/>
              <w:snapToGrid w:val="0"/>
              <w:spacing w:line="360" w:lineRule="auto"/>
              <w:ind w:leftChars="0" w:firstLine="420" w:firstLineChars="200"/>
              <w:textAlignment w:val="auto"/>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根据《建设项目环境影响报告表编制技术指南（污染影响类）（试行）》，厂界外周边50米范围内存在声环境保护目标的建设项目，应监测保护目标声环境质量现状并评价达标情况。</w:t>
            </w:r>
          </w:p>
          <w:p w14:paraId="2D3B9C64">
            <w:pPr>
              <w:pStyle w:val="11"/>
              <w:widowControl w:val="0"/>
              <w:numPr>
                <w:ilvl w:val="0"/>
                <w:numId w:val="0"/>
              </w:numPr>
              <w:wordWrap/>
              <w:adjustRightInd/>
              <w:snapToGrid w:val="0"/>
              <w:spacing w:line="360" w:lineRule="auto"/>
              <w:ind w:leftChars="0" w:firstLine="420" w:firstLineChars="20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根据现场踏勘，本项目边界外周边50米范围内无敏感目标，可不开展声环境质量现状监测。</w:t>
            </w:r>
          </w:p>
          <w:p w14:paraId="7D4B3253">
            <w:pPr>
              <w:widowControl w:val="0"/>
              <w:numPr>
                <w:ilvl w:val="0"/>
                <w:numId w:val="0"/>
              </w:numPr>
              <w:wordWrap/>
              <w:adjustRightInd/>
              <w:snapToGrid/>
              <w:spacing w:line="360" w:lineRule="auto"/>
              <w:jc w:val="both"/>
              <w:textAlignment w:val="auto"/>
              <w:rPr>
                <w:rFonts w:hint="default" w:ascii="Times New Roman" w:hAnsi="Times New Roman" w:cs="Times New Roman"/>
                <w:b/>
                <w:bCs/>
                <w:lang w:val="en-US" w:eastAsia="zh-CN"/>
              </w:rPr>
            </w:pPr>
            <w:r>
              <w:rPr>
                <w:rFonts w:hint="eastAsia" w:cs="Times New Roman"/>
                <w:b/>
                <w:bCs/>
                <w:lang w:val="en-US" w:eastAsia="zh-CN"/>
              </w:rPr>
              <w:t>4、</w:t>
            </w:r>
            <w:r>
              <w:rPr>
                <w:rFonts w:hint="default" w:ascii="Times New Roman" w:hAnsi="Times New Roman" w:cs="Times New Roman"/>
                <w:b/>
                <w:bCs/>
                <w:lang w:val="en-US" w:eastAsia="zh-CN"/>
              </w:rPr>
              <w:t>土壤环境</w:t>
            </w:r>
          </w:p>
          <w:p w14:paraId="5A7C8449">
            <w:p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本项</w:t>
            </w:r>
            <w:r>
              <w:rPr>
                <w:rFonts w:hint="eastAsia" w:cs="Times New Roman"/>
                <w:lang w:val="en-US" w:eastAsia="zh-CN"/>
              </w:rPr>
              <w:t>从事木质家具制造</w:t>
            </w:r>
            <w:r>
              <w:rPr>
                <w:rFonts w:hint="default" w:ascii="Times New Roman" w:hAnsi="Times New Roman" w:cs="Times New Roman"/>
                <w:lang w:val="en-US" w:eastAsia="zh-CN"/>
              </w:rPr>
              <w:t>，根据</w:t>
            </w:r>
            <w:r>
              <w:rPr>
                <w:rFonts w:hint="eastAsia" w:cs="Times New Roman"/>
                <w:lang w:val="en-US" w:eastAsia="zh-CN"/>
              </w:rPr>
              <w:t>《环境影响评价技术导则 土壤环境（试行）》</w:t>
            </w:r>
            <w:r>
              <w:rPr>
                <w:rFonts w:hint="default" w:ascii="Times New Roman" w:hAnsi="Times New Roman" w:cs="Times New Roman"/>
                <w:lang w:val="en-US" w:eastAsia="zh-CN"/>
              </w:rPr>
              <w:t>（HJ 964-2018）中的附录A，本项目土壤环境影响评价类别为</w:t>
            </w:r>
            <w:r>
              <w:rPr>
                <w:rFonts w:hint="default" w:ascii="Times New Roman" w:hAnsi="Times New Roman" w:eastAsia="微软雅黑" w:cs="Times New Roman"/>
                <w:lang w:val="en-US" w:eastAsia="zh-CN"/>
              </w:rPr>
              <w:t>Ⅲ</w:t>
            </w:r>
            <w:r>
              <w:rPr>
                <w:rFonts w:hint="default" w:ascii="Times New Roman" w:hAnsi="Times New Roman" w:cs="Times New Roman"/>
                <w:lang w:val="en-US" w:eastAsia="zh-CN"/>
              </w:rPr>
              <w:t>类，</w:t>
            </w:r>
            <w:r>
              <w:rPr>
                <w:rFonts w:hint="eastAsia" w:cs="Times New Roman"/>
                <w:lang w:val="en-US" w:eastAsia="zh-CN"/>
              </w:rPr>
              <w:t>占地面积为468m4</w:t>
            </w:r>
            <w:r>
              <w:rPr>
                <w:rFonts w:hint="eastAsia" w:cs="Times New Roman"/>
                <w:vertAlign w:val="superscript"/>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5hm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，判定为占地规模为小型，项目周边均为工业用地，无土壤环境敏感目标；</w:t>
            </w:r>
            <w:r>
              <w:rPr>
                <w:rFonts w:hint="default" w:ascii="Times New Roman" w:hAnsi="Times New Roman" w:cs="Times New Roman"/>
                <w:lang w:val="en-US" w:eastAsia="zh-CN"/>
              </w:rPr>
              <w:t>根据</w:t>
            </w:r>
            <w:r>
              <w:rPr>
                <w:rFonts w:hint="eastAsia" w:cs="Times New Roman"/>
                <w:lang w:val="en-US" w:eastAsia="zh-CN"/>
              </w:rPr>
              <w:t xml:space="preserve"> 《环境影响评价技术导则 土壤环境（试行）》</w:t>
            </w:r>
            <w:r>
              <w:rPr>
                <w:rFonts w:hint="default" w:ascii="Times New Roman" w:hAnsi="Times New Roman" w:cs="Times New Roman"/>
                <w:lang w:val="en-US" w:eastAsia="zh-CN"/>
              </w:rPr>
              <w:t>（HJ 964-2018）</w:t>
            </w:r>
            <w:r>
              <w:rPr>
                <w:rFonts w:hint="eastAsia" w:cs="Times New Roman"/>
                <w:lang w:val="en-US" w:eastAsia="zh-CN"/>
              </w:rPr>
              <w:t>项目可不进行土壤现状监测</w:t>
            </w:r>
            <w:r>
              <w:rPr>
                <w:rFonts w:hint="default" w:ascii="Times New Roman" w:hAnsi="Times New Roman" w:cs="Times New Roman"/>
                <w:lang w:val="en-US" w:eastAsia="zh-CN"/>
              </w:rPr>
              <w:t>，项目土壤环境影响评价等级详情见下表3-</w:t>
            </w:r>
            <w:r>
              <w:rPr>
                <w:rFonts w:hint="eastAsia" w:cs="Times New Roman"/>
                <w:lang w:val="en-US" w:eastAsia="zh-CN"/>
              </w:rPr>
              <w:t>5。</w:t>
            </w:r>
          </w:p>
          <w:p w14:paraId="0C0650D2">
            <w:pPr>
              <w:pStyle w:val="16"/>
              <w:jc w:val="center"/>
              <w:rPr>
                <w:rFonts w:hint="default"/>
                <w:b/>
                <w:bCs/>
                <w:lang w:val="en-US" w:eastAsia="zh-CN"/>
              </w:rPr>
            </w:pPr>
            <w:r>
              <w:rPr>
                <w:rFonts w:hint="eastAsia" w:ascii="Times New Roman" w:hAnsi="Times New Roman" w:cs="Times New Roman"/>
                <w:b/>
                <w:bCs/>
                <w:lang w:val="en-US" w:eastAsia="zh-CN"/>
              </w:rPr>
              <w:t>表3-</w:t>
            </w:r>
            <w:r>
              <w:rPr>
                <w:rFonts w:hint="eastAsia" w:cs="Times New Roman"/>
                <w:b/>
                <w:bCs/>
                <w:lang w:val="en-US" w:eastAsia="zh-CN"/>
              </w:rPr>
              <w:t xml:space="preserve">5  </w:t>
            </w:r>
            <w:r>
              <w:rPr>
                <w:rFonts w:hint="eastAsia" w:ascii="Times New Roman" w:hAnsi="Times New Roman" w:cs="Times New Roman"/>
                <w:b/>
                <w:bCs/>
                <w:lang w:val="en-US" w:eastAsia="zh-CN"/>
              </w:rPr>
              <w:t>土壤</w:t>
            </w:r>
            <w:r>
              <w:rPr>
                <w:rFonts w:hint="eastAsia" w:cs="Times New Roman"/>
                <w:b/>
                <w:bCs/>
                <w:lang w:val="en-US" w:eastAsia="zh-CN"/>
              </w:rPr>
              <w:t>环境</w:t>
            </w:r>
            <w:r>
              <w:rPr>
                <w:rFonts w:hint="eastAsia" w:ascii="Times New Roman" w:hAnsi="Times New Roman" w:cs="Times New Roman"/>
                <w:b/>
                <w:bCs/>
                <w:lang w:val="en-US" w:eastAsia="zh-CN"/>
              </w:rPr>
              <w:t>评价详情表</w:t>
            </w:r>
          </w:p>
          <w:tbl>
            <w:tblPr>
              <w:tblStyle w:val="17"/>
              <w:tblW w:w="8260" w:type="dxa"/>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3080"/>
              <w:gridCol w:w="2587"/>
            </w:tblGrid>
            <w:tr w14:paraId="7B2D1E3E">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93" w:type="dxa"/>
                  <w:tcBorders>
                    <w:top w:val="single" w:color="auto" w:sz="12" w:space="0"/>
                  </w:tcBorders>
                  <w:vAlign w:val="center"/>
                </w:tcPr>
                <w:p w14:paraId="05803AB3">
                  <w:pPr>
                    <w:pStyle w:val="11"/>
                    <w:widowControl w:val="0"/>
                    <w:numPr>
                      <w:ilvl w:val="0"/>
                      <w:numId w:val="0"/>
                    </w:numPr>
                    <w:wordWrap/>
                    <w:adjustRightInd/>
                    <w:snapToGrid w:val="0"/>
                    <w:spacing w:line="240" w:lineRule="auto"/>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产品</w:t>
                  </w:r>
                </w:p>
              </w:tc>
              <w:tc>
                <w:tcPr>
                  <w:tcW w:w="3080" w:type="dxa"/>
                  <w:tcBorders>
                    <w:top w:val="single" w:color="auto" w:sz="12" w:space="0"/>
                  </w:tcBorders>
                  <w:vAlign w:val="center"/>
                </w:tcPr>
                <w:p w14:paraId="0A6329C9">
                  <w:pPr>
                    <w:pStyle w:val="11"/>
                    <w:widowControl w:val="0"/>
                    <w:numPr>
                      <w:ilvl w:val="0"/>
                      <w:numId w:val="0"/>
                    </w:numPr>
                    <w:wordWrap/>
                    <w:adjustRightInd/>
                    <w:snapToGrid w:val="0"/>
                    <w:spacing w:line="240" w:lineRule="auto"/>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土壤环境影响评价类别</w:t>
                  </w:r>
                </w:p>
              </w:tc>
              <w:tc>
                <w:tcPr>
                  <w:tcW w:w="2587" w:type="dxa"/>
                  <w:tcBorders>
                    <w:top w:val="single" w:color="auto" w:sz="12" w:space="0"/>
                    <w:right w:val="nil"/>
                  </w:tcBorders>
                  <w:vAlign w:val="center"/>
                </w:tcPr>
                <w:p w14:paraId="29D12F9C">
                  <w:pPr>
                    <w:pStyle w:val="11"/>
                    <w:widowControl w:val="0"/>
                    <w:numPr>
                      <w:ilvl w:val="0"/>
                      <w:numId w:val="0"/>
                    </w:numPr>
                    <w:wordWrap/>
                    <w:adjustRightInd/>
                    <w:snapToGrid w:val="0"/>
                    <w:spacing w:line="240" w:lineRule="auto"/>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土壤环境影响评价等级</w:t>
                  </w:r>
                </w:p>
              </w:tc>
            </w:tr>
            <w:tr w14:paraId="01BC207C">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593" w:type="dxa"/>
                  <w:vAlign w:val="center"/>
                </w:tcPr>
                <w:p w14:paraId="2EA3F6F2">
                  <w:pPr>
                    <w:pStyle w:val="11"/>
                    <w:widowControl w:val="0"/>
                    <w:numPr>
                      <w:ilvl w:val="0"/>
                      <w:numId w:val="0"/>
                    </w:numPr>
                    <w:wordWrap/>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eastAsia" w:cs="Times New Roman"/>
                      <w:sz w:val="18"/>
                      <w:szCs w:val="18"/>
                      <w:lang w:val="en-US" w:eastAsia="zh-CN"/>
                    </w:rPr>
                    <w:t>木质家具制造</w:t>
                  </w:r>
                </w:p>
              </w:tc>
              <w:tc>
                <w:tcPr>
                  <w:tcW w:w="3080" w:type="dxa"/>
                  <w:vAlign w:val="center"/>
                </w:tcPr>
                <w:p w14:paraId="7EE5EEE4">
                  <w:pPr>
                    <w:pStyle w:val="11"/>
                    <w:widowControl w:val="0"/>
                    <w:numPr>
                      <w:ilvl w:val="0"/>
                      <w:numId w:val="0"/>
                    </w:numPr>
                    <w:wordWrap/>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其他用品制造 其他</w:t>
                  </w:r>
                </w:p>
              </w:tc>
              <w:tc>
                <w:tcPr>
                  <w:tcW w:w="2587" w:type="dxa"/>
                  <w:tcBorders>
                    <w:right w:val="nil"/>
                  </w:tcBorders>
                  <w:vAlign w:val="center"/>
                </w:tcPr>
                <w:p w14:paraId="045DFB12">
                  <w:pPr>
                    <w:pStyle w:val="11"/>
                    <w:widowControl w:val="0"/>
                    <w:numPr>
                      <w:ilvl w:val="0"/>
                      <w:numId w:val="0"/>
                    </w:numPr>
                    <w:wordWrap/>
                    <w:adjustRightInd/>
                    <w:snapToGrid w:val="0"/>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微软雅黑" w:cs="Times New Roman"/>
                      <w:sz w:val="18"/>
                      <w:szCs w:val="18"/>
                      <w:lang w:val="en-US" w:eastAsia="zh-CN"/>
                    </w:rPr>
                    <w:t>Ⅲ</w:t>
                  </w:r>
                  <w:r>
                    <w:rPr>
                      <w:rFonts w:hint="default" w:ascii="Times New Roman" w:hAnsi="Times New Roman" w:cs="Times New Roman"/>
                      <w:sz w:val="18"/>
                      <w:szCs w:val="18"/>
                      <w:lang w:val="en-US" w:eastAsia="zh-CN"/>
                    </w:rPr>
                    <w:t>类</w:t>
                  </w:r>
                  <w:r>
                    <w:rPr>
                      <w:rFonts w:hint="eastAsia" w:ascii="Times New Roman" w:hAnsi="Times New Roman" w:cs="Times New Roman"/>
                      <w:sz w:val="18"/>
                      <w:szCs w:val="18"/>
                      <w:lang w:val="en-US" w:eastAsia="zh-CN"/>
                    </w:rPr>
                    <w:t>，占地面积为小型，周围无土壤环境敏感目标，可无需开展土壤评价</w:t>
                  </w:r>
                </w:p>
              </w:tc>
            </w:tr>
          </w:tbl>
          <w:p w14:paraId="1BA66AE1">
            <w:pPr>
              <w:spacing w:line="360" w:lineRule="auto"/>
              <w:ind w:left="0" w:leftChars="0" w:firstLine="0" w:firstLineChars="0"/>
              <w:rPr>
                <w:rFonts w:hint="eastAsia"/>
                <w:b/>
                <w:bCs/>
                <w:lang w:val="en-US" w:eastAsia="zh-CN"/>
              </w:rPr>
            </w:pPr>
            <w:r>
              <w:rPr>
                <w:rFonts w:hint="eastAsia"/>
                <w:b/>
                <w:bCs/>
                <w:lang w:val="en-US" w:eastAsia="zh-CN"/>
              </w:rPr>
              <w:t>5、地下水环境</w:t>
            </w:r>
          </w:p>
          <w:p w14:paraId="54573515">
            <w:pPr>
              <w:pStyle w:val="11"/>
              <w:widowControl w:val="0"/>
              <w:numPr>
                <w:ilvl w:val="0"/>
                <w:numId w:val="0"/>
              </w:numPr>
              <w:wordWrap/>
              <w:adjustRightInd/>
              <w:snapToGrid w:val="0"/>
              <w:spacing w:line="360" w:lineRule="auto"/>
              <w:ind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本项目所在地地下水环境不属于集中式饮用水源地准保护区，也不属于热水、矿泉水、温泉等特殊地下水资源保护区等，因此地下水环境为不敏感；根据《环境影响评价技术导则 地下水环境》（HJ 610-2016）中的附录A，该项目的地下水环境影响评价项目类别</w:t>
            </w:r>
            <w:r>
              <w:rPr>
                <w:rFonts w:hint="eastAsia" w:ascii="Times New Roman" w:hAnsi="Times New Roman" w:cs="Times New Roman"/>
                <w:color w:val="auto"/>
                <w:lang w:val="en-US" w:eastAsia="zh-CN"/>
              </w:rPr>
              <w:t>详见下表3-6。</w:t>
            </w:r>
          </w:p>
          <w:p w14:paraId="30D4A3A3">
            <w:pPr>
              <w:pStyle w:val="11"/>
              <w:widowControl w:val="0"/>
              <w:numPr>
                <w:ilvl w:val="0"/>
                <w:numId w:val="0"/>
              </w:numPr>
              <w:wordWrap/>
              <w:adjustRightInd/>
              <w:snapToGrid w:val="0"/>
              <w:spacing w:line="360" w:lineRule="auto"/>
              <w:ind w:firstLine="422" w:firstLineChars="20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表3-6  地下水评价详情表</w:t>
            </w:r>
          </w:p>
          <w:tbl>
            <w:tblPr>
              <w:tblStyle w:val="17"/>
              <w:tblW w:w="82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3128"/>
              <w:gridCol w:w="2763"/>
            </w:tblGrid>
            <w:tr w14:paraId="5C676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98" w:type="dxa"/>
                  <w:tcBorders>
                    <w:tl2br w:val="nil"/>
                    <w:tr2bl w:val="nil"/>
                  </w:tcBorders>
                  <w:vAlign w:val="center"/>
                </w:tcPr>
                <w:p w14:paraId="16461F4A">
                  <w:pPr>
                    <w:pStyle w:val="11"/>
                    <w:widowControl w:val="0"/>
                    <w:numPr>
                      <w:ilvl w:val="0"/>
                      <w:numId w:val="0"/>
                    </w:numPr>
                    <w:wordWrap/>
                    <w:adjustRightInd/>
                    <w:snapToGrid w:val="0"/>
                    <w:spacing w:beforeLines="50" w:afterLines="50" w:line="240" w:lineRule="auto"/>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产品</w:t>
                  </w:r>
                </w:p>
              </w:tc>
              <w:tc>
                <w:tcPr>
                  <w:tcW w:w="3128" w:type="dxa"/>
                  <w:tcBorders>
                    <w:tl2br w:val="nil"/>
                    <w:tr2bl w:val="nil"/>
                  </w:tcBorders>
                  <w:vAlign w:val="center"/>
                </w:tcPr>
                <w:p w14:paraId="47148B81">
                  <w:pPr>
                    <w:pStyle w:val="11"/>
                    <w:widowControl w:val="0"/>
                    <w:numPr>
                      <w:ilvl w:val="0"/>
                      <w:numId w:val="0"/>
                    </w:numPr>
                    <w:wordWrap/>
                    <w:adjustRightInd/>
                    <w:snapToGrid w:val="0"/>
                    <w:spacing w:beforeLines="50" w:afterLines="50" w:line="240" w:lineRule="auto"/>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地下水环境影响评价项目类别</w:t>
                  </w:r>
                </w:p>
              </w:tc>
              <w:tc>
                <w:tcPr>
                  <w:tcW w:w="2763" w:type="dxa"/>
                  <w:tcBorders>
                    <w:tl2br w:val="nil"/>
                    <w:tr2bl w:val="nil"/>
                  </w:tcBorders>
                  <w:vAlign w:val="center"/>
                </w:tcPr>
                <w:p w14:paraId="216DF74A">
                  <w:pPr>
                    <w:pStyle w:val="11"/>
                    <w:widowControl w:val="0"/>
                    <w:numPr>
                      <w:ilvl w:val="0"/>
                      <w:numId w:val="0"/>
                    </w:numPr>
                    <w:wordWrap/>
                    <w:adjustRightInd/>
                    <w:snapToGrid w:val="0"/>
                    <w:spacing w:beforeLines="50" w:afterLines="50" w:line="240" w:lineRule="auto"/>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地下水评价等级</w:t>
                  </w:r>
                </w:p>
              </w:tc>
            </w:tr>
            <w:tr w14:paraId="6B85E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98" w:type="dxa"/>
                  <w:tcBorders>
                    <w:tl2br w:val="nil"/>
                    <w:tr2bl w:val="nil"/>
                  </w:tcBorders>
                  <w:vAlign w:val="center"/>
                </w:tcPr>
                <w:p w14:paraId="2D084584">
                  <w:pPr>
                    <w:pStyle w:val="11"/>
                    <w:widowControl w:val="0"/>
                    <w:numPr>
                      <w:ilvl w:val="0"/>
                      <w:numId w:val="0"/>
                    </w:numPr>
                    <w:wordWrap/>
                    <w:adjustRightInd/>
                    <w:snapToGrid w:val="0"/>
                    <w:spacing w:beforeLines="50" w:afterLines="50" w:line="240" w:lineRule="auto"/>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竹木纤维人造板</w:t>
                  </w:r>
                </w:p>
              </w:tc>
              <w:tc>
                <w:tcPr>
                  <w:tcW w:w="3128" w:type="dxa"/>
                  <w:tcBorders>
                    <w:tl2br w:val="nil"/>
                    <w:tr2bl w:val="nil"/>
                  </w:tcBorders>
                  <w:vAlign w:val="center"/>
                </w:tcPr>
                <w:p w14:paraId="7BAF721A">
                  <w:pPr>
                    <w:pStyle w:val="11"/>
                    <w:widowControl w:val="0"/>
                    <w:numPr>
                      <w:ilvl w:val="0"/>
                      <w:numId w:val="0"/>
                    </w:numPr>
                    <w:wordWrap/>
                    <w:adjustRightInd/>
                    <w:snapToGrid w:val="0"/>
                    <w:spacing w:beforeLines="50" w:afterLines="50" w:line="240" w:lineRule="auto"/>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109、锯材、木片加工、家具制造（报告表：其他）</w:t>
                  </w:r>
                  <w:r>
                    <w:rPr>
                      <w:rFonts w:hint="default" w:ascii="Times New Roman" w:hAnsi="Times New Roman" w:cs="Times New Roman"/>
                      <w:color w:val="auto"/>
                      <w:sz w:val="18"/>
                      <w:szCs w:val="18"/>
                      <w:lang w:val="en-US" w:eastAsia="zh-CN"/>
                    </w:rPr>
                    <w:t>Ⅳ类</w:t>
                  </w:r>
                </w:p>
              </w:tc>
              <w:tc>
                <w:tcPr>
                  <w:tcW w:w="2763" w:type="dxa"/>
                  <w:tcBorders>
                    <w:tl2br w:val="nil"/>
                    <w:tr2bl w:val="nil"/>
                  </w:tcBorders>
                  <w:vAlign w:val="center"/>
                </w:tcPr>
                <w:p w14:paraId="0E8A8E53">
                  <w:pPr>
                    <w:pStyle w:val="11"/>
                    <w:widowControl w:val="0"/>
                    <w:numPr>
                      <w:ilvl w:val="0"/>
                      <w:numId w:val="0"/>
                    </w:numPr>
                    <w:wordWrap/>
                    <w:adjustRightInd/>
                    <w:snapToGrid w:val="0"/>
                    <w:spacing w:beforeLines="50" w:afterLines="5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Ⅳ类</w:t>
                  </w:r>
                  <w:r>
                    <w:rPr>
                      <w:rFonts w:hint="eastAsia" w:ascii="Times New Roman" w:hAnsi="Times New Roman" w:cs="Times New Roman"/>
                      <w:color w:val="auto"/>
                      <w:sz w:val="18"/>
                      <w:szCs w:val="18"/>
                      <w:lang w:val="en-US" w:eastAsia="zh-CN"/>
                    </w:rPr>
                    <w:t>无需开展地下水评价</w:t>
                  </w:r>
                </w:p>
              </w:tc>
            </w:tr>
          </w:tbl>
          <w:p w14:paraId="7BB889ED">
            <w:pPr>
              <w:pStyle w:val="11"/>
              <w:widowControl w:val="0"/>
              <w:numPr>
                <w:ilvl w:val="0"/>
                <w:numId w:val="0"/>
              </w:numPr>
              <w:wordWrap/>
              <w:adjustRightInd/>
              <w:snapToGrid w:val="0"/>
              <w:spacing w:beforeLines="50" w:line="360" w:lineRule="auto"/>
              <w:ind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综上所述本项目可无需开展地下水现状调查。</w:t>
            </w:r>
          </w:p>
          <w:p w14:paraId="16125600">
            <w:pPr>
              <w:spacing w:line="360" w:lineRule="auto"/>
              <w:ind w:left="0" w:leftChars="0" w:firstLine="0" w:firstLineChars="0"/>
              <w:rPr>
                <w:rFonts w:hint="eastAsia"/>
                <w:b/>
                <w:bCs/>
                <w:lang w:val="en-US" w:eastAsia="zh-CN"/>
              </w:rPr>
            </w:pPr>
            <w:r>
              <w:rPr>
                <w:rFonts w:hint="eastAsia"/>
                <w:b/>
                <w:bCs/>
                <w:lang w:val="en-US" w:eastAsia="zh-CN"/>
              </w:rPr>
              <w:t>6、生态环境</w:t>
            </w:r>
          </w:p>
          <w:p w14:paraId="37B50416">
            <w:pPr>
              <w:pStyle w:val="11"/>
              <w:widowControl w:val="0"/>
              <w:numPr>
                <w:ilvl w:val="0"/>
                <w:numId w:val="0"/>
              </w:numPr>
              <w:wordWrap/>
              <w:adjustRightInd/>
              <w:snapToGrid w:val="0"/>
              <w:spacing w:line="360" w:lineRule="auto"/>
              <w:ind w:firstLine="420" w:firstLineChars="200"/>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项目</w:t>
            </w:r>
            <w:r>
              <w:rPr>
                <w:rFonts w:hint="eastAsia" w:ascii="Times New Roman" w:hAnsi="Times New Roman" w:cs="Times New Roman"/>
                <w:color w:val="auto"/>
                <w:lang w:val="en-US" w:eastAsia="zh-CN"/>
              </w:rPr>
              <w:t>租赁</w:t>
            </w:r>
            <w:r>
              <w:rPr>
                <w:rFonts w:hint="eastAsia" w:ascii="Times New Roman" w:hAnsi="Times New Roman" w:eastAsia="宋体" w:cs="Times New Roman"/>
                <w:color w:val="auto"/>
                <w:lang w:val="en-US" w:eastAsia="zh-CN"/>
              </w:rPr>
              <w:t>现有厂房生产，不新增用地，因此本报告可无需对生态影响进行分析，可不开展生态现状调查</w:t>
            </w:r>
            <w:r>
              <w:rPr>
                <w:rFonts w:hint="eastAsia" w:ascii="Times New Roman" w:hAnsi="Times New Roman" w:cs="Times New Roman"/>
                <w:color w:val="auto"/>
                <w:lang w:val="en-US" w:eastAsia="zh-CN"/>
              </w:rPr>
              <w:t>。</w:t>
            </w:r>
          </w:p>
          <w:p w14:paraId="540A5B0C">
            <w:pPr>
              <w:ind w:left="0" w:leftChars="0" w:firstLine="0" w:firstLineChars="0"/>
              <w:rPr>
                <w:rFonts w:hint="eastAsia"/>
                <w:b/>
                <w:bCs/>
                <w:lang w:val="en-US" w:eastAsia="zh-CN"/>
              </w:rPr>
            </w:pPr>
            <w:r>
              <w:rPr>
                <w:rFonts w:hint="eastAsia"/>
                <w:b/>
                <w:bCs/>
                <w:lang w:val="en-US" w:eastAsia="zh-CN"/>
              </w:rPr>
              <w:t>7、电磁辐射</w:t>
            </w:r>
          </w:p>
          <w:p w14:paraId="5048E385">
            <w:pPr>
              <w:spacing w:line="360" w:lineRule="auto"/>
              <w:rPr>
                <w:rFonts w:hint="default"/>
                <w:lang w:val="en-US" w:eastAsia="zh-CN"/>
              </w:rPr>
            </w:pPr>
            <w:r>
              <w:rPr>
                <w:rFonts w:hint="eastAsia" w:ascii="Times New Roman" w:hAnsi="Times New Roman" w:eastAsia="宋体" w:cs="Times New Roman"/>
                <w:color w:val="auto"/>
                <w:lang w:val="en-US" w:eastAsia="zh-CN"/>
              </w:rPr>
              <w:t>项目不属于新建或改建广播电台、差转台、电视塔台、卫星地球上行站、雷达等电磁辐射类项目，因此可无需对项目电磁辐射现状开展监测与评价。</w:t>
            </w:r>
          </w:p>
        </w:tc>
      </w:tr>
      <w:tr w14:paraId="3194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3" w:hRule="atLeast"/>
        </w:trPr>
        <w:tc>
          <w:tcPr>
            <w:tcW w:w="403" w:type="dxa"/>
            <w:vAlign w:val="center"/>
          </w:tcPr>
          <w:p w14:paraId="1B053962">
            <w:pPr>
              <w:ind w:left="0" w:leftChars="0"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环境保护目标</w:t>
            </w:r>
          </w:p>
        </w:tc>
        <w:tc>
          <w:tcPr>
            <w:tcW w:w="8508" w:type="dxa"/>
            <w:vAlign w:val="top"/>
          </w:tcPr>
          <w:p w14:paraId="690019B0">
            <w:pPr>
              <w:spacing w:line="360" w:lineRule="auto"/>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根据现场勘探，项目周边主要环境保护目标祥见下表3-</w:t>
            </w:r>
            <w:r>
              <w:rPr>
                <w:rFonts w:hint="eastAsia" w:cs="Times New Roman"/>
                <w:color w:val="auto"/>
                <w:lang w:val="en-US" w:eastAsia="zh-CN"/>
              </w:rPr>
              <w:t>7。</w:t>
            </w:r>
          </w:p>
          <w:p w14:paraId="4D895A12">
            <w:pPr>
              <w:pStyle w:val="16"/>
              <w:spacing w:line="240" w:lineRule="auto"/>
              <w:jc w:val="center"/>
              <w:rPr>
                <w:rFonts w:hint="default"/>
                <w:b/>
                <w:bCs/>
                <w:lang w:val="en-US" w:eastAsia="zh-CN"/>
              </w:rPr>
            </w:pPr>
            <w:r>
              <w:rPr>
                <w:rFonts w:hint="eastAsia" w:cs="Times New Roman"/>
                <w:b/>
                <w:bCs/>
                <w:color w:val="auto"/>
                <w:lang w:val="en-US" w:eastAsia="zh-CN"/>
              </w:rPr>
              <w:t>表3-7  项目周边主要环境保护目标</w:t>
            </w:r>
          </w:p>
          <w:tbl>
            <w:tblPr>
              <w:tblStyle w:val="17"/>
              <w:tblW w:w="802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3"/>
              <w:gridCol w:w="685"/>
              <w:gridCol w:w="594"/>
              <w:gridCol w:w="717"/>
              <w:gridCol w:w="903"/>
              <w:gridCol w:w="670"/>
              <w:gridCol w:w="1363"/>
              <w:gridCol w:w="2518"/>
            </w:tblGrid>
            <w:tr w14:paraId="458FB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2" w:hRule="atLeast"/>
                <w:tblHeader/>
                <w:jc w:val="center"/>
              </w:trPr>
              <w:tc>
                <w:tcPr>
                  <w:tcW w:w="573" w:type="dxa"/>
                  <w:vAlign w:val="center"/>
                </w:tcPr>
                <w:p w14:paraId="467AFBAE">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w:t>
                  </w:r>
                </w:p>
                <w:p w14:paraId="6118F652">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因素</w:t>
                  </w:r>
                </w:p>
              </w:tc>
              <w:tc>
                <w:tcPr>
                  <w:tcW w:w="685" w:type="dxa"/>
                  <w:vAlign w:val="center"/>
                </w:tcPr>
                <w:p w14:paraId="291D8887">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环境保护目标</w:t>
                  </w:r>
                </w:p>
              </w:tc>
              <w:tc>
                <w:tcPr>
                  <w:tcW w:w="594" w:type="dxa"/>
                  <w:vAlign w:val="center"/>
                </w:tcPr>
                <w:p w14:paraId="348C820E">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与本项目相对方位</w:t>
                  </w:r>
                </w:p>
              </w:tc>
              <w:tc>
                <w:tcPr>
                  <w:tcW w:w="717" w:type="dxa"/>
                  <w:vAlign w:val="center"/>
                </w:tcPr>
                <w:p w14:paraId="491C2388">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最近距离（m）</w:t>
                  </w:r>
                </w:p>
              </w:tc>
              <w:tc>
                <w:tcPr>
                  <w:tcW w:w="903" w:type="dxa"/>
                  <w:vAlign w:val="center"/>
                </w:tcPr>
                <w:p w14:paraId="58CE5275">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规模</w:t>
                  </w:r>
                </w:p>
              </w:tc>
              <w:tc>
                <w:tcPr>
                  <w:tcW w:w="670" w:type="dxa"/>
                  <w:vAlign w:val="center"/>
                </w:tcPr>
                <w:p w14:paraId="6A47A47F">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环境功能区划要求</w:t>
                  </w:r>
                </w:p>
              </w:tc>
              <w:tc>
                <w:tcPr>
                  <w:tcW w:w="1363" w:type="dxa"/>
                  <w:vAlign w:val="center"/>
                </w:tcPr>
                <w:p w14:paraId="4854B209">
                  <w:pPr>
                    <w:pStyle w:val="32"/>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环境质量目标</w:t>
                  </w:r>
                </w:p>
              </w:tc>
              <w:tc>
                <w:tcPr>
                  <w:tcW w:w="2518" w:type="dxa"/>
                  <w:vAlign w:val="center"/>
                </w:tcPr>
                <w:p w14:paraId="056BB456">
                  <w:pPr>
                    <w:pStyle w:val="32"/>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备注</w:t>
                  </w:r>
                </w:p>
              </w:tc>
            </w:tr>
            <w:tr w14:paraId="2B8200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573" w:type="dxa"/>
                  <w:vAlign w:val="center"/>
                </w:tcPr>
                <w:p w14:paraId="03BEC94F">
                  <w:pPr>
                    <w:pStyle w:val="3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p w14:paraId="5EDA1E24">
                  <w:pPr>
                    <w:pStyle w:val="3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tc>
              <w:tc>
                <w:tcPr>
                  <w:tcW w:w="685" w:type="dxa"/>
                  <w:vAlign w:val="center"/>
                </w:tcPr>
                <w:p w14:paraId="3BCA4E09">
                  <w:pPr>
                    <w:pStyle w:val="32"/>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94" w:type="dxa"/>
                  <w:vAlign w:val="center"/>
                </w:tcPr>
                <w:p w14:paraId="4FD0AA70">
                  <w:pPr>
                    <w:pStyle w:val="32"/>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717" w:type="dxa"/>
                  <w:vAlign w:val="center"/>
                </w:tcPr>
                <w:p w14:paraId="69CDF9BD">
                  <w:pPr>
                    <w:pStyle w:val="3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903" w:type="dxa"/>
                  <w:vAlign w:val="center"/>
                </w:tcPr>
                <w:p w14:paraId="3AE89906">
                  <w:pPr>
                    <w:pStyle w:val="32"/>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670" w:type="dxa"/>
                  <w:vAlign w:val="center"/>
                </w:tcPr>
                <w:p w14:paraId="5793DF09">
                  <w:pPr>
                    <w:pStyle w:val="3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二类区</w:t>
                  </w:r>
                </w:p>
              </w:tc>
              <w:tc>
                <w:tcPr>
                  <w:tcW w:w="1363" w:type="dxa"/>
                  <w:vAlign w:val="center"/>
                </w:tcPr>
                <w:p w14:paraId="50F4EB25">
                  <w:pPr>
                    <w:pStyle w:val="3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GB3095-2012</w:t>
                  </w:r>
                </w:p>
                <w:p w14:paraId="693D7897">
                  <w:pPr>
                    <w:pStyle w:val="3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二级标准</w:t>
                  </w:r>
                </w:p>
              </w:tc>
              <w:tc>
                <w:tcPr>
                  <w:tcW w:w="2518" w:type="dxa"/>
                  <w:vAlign w:val="center"/>
                </w:tcPr>
                <w:p w14:paraId="19B08043">
                  <w:pPr>
                    <w:pStyle w:val="32"/>
                    <w:jc w:val="both"/>
                    <w:rPr>
                      <w:rFonts w:hint="default" w:ascii="Times New Roman" w:hAnsi="Times New Roman" w:cs="Times New Roman"/>
                      <w:color w:val="auto"/>
                      <w:sz w:val="18"/>
                      <w:szCs w:val="18"/>
                    </w:rPr>
                  </w:pPr>
                  <w:r>
                    <w:rPr>
                      <w:rFonts w:hint="eastAsia" w:cs="Times New Roman"/>
                      <w:color w:val="auto"/>
                      <w:sz w:val="18"/>
                      <w:szCs w:val="18"/>
                      <w:lang w:val="en-US" w:eastAsia="zh-CN"/>
                    </w:rPr>
                    <w:t>项目</w:t>
                  </w:r>
                  <w:r>
                    <w:rPr>
                      <w:rFonts w:hint="default" w:ascii="Times New Roman" w:hAnsi="Times New Roman" w:cs="Times New Roman"/>
                      <w:color w:val="auto"/>
                      <w:sz w:val="18"/>
                      <w:szCs w:val="18"/>
                    </w:rPr>
                    <w:t>厂界外500m范围内无</w:t>
                  </w:r>
                  <w:r>
                    <w:rPr>
                      <w:rFonts w:hint="eastAsia" w:cs="Times New Roman"/>
                      <w:color w:val="auto"/>
                      <w:sz w:val="18"/>
                      <w:szCs w:val="18"/>
                      <w:lang w:val="en-US" w:eastAsia="zh-CN"/>
                    </w:rPr>
                    <w:t>居民区、</w:t>
                  </w:r>
                  <w:r>
                    <w:rPr>
                      <w:rFonts w:hint="default" w:ascii="Times New Roman" w:hAnsi="Times New Roman" w:cs="Times New Roman"/>
                      <w:color w:val="auto"/>
                      <w:sz w:val="18"/>
                      <w:szCs w:val="18"/>
                    </w:rPr>
                    <w:t>自然保护区、风景名胜区、文化区等</w:t>
                  </w:r>
                </w:p>
              </w:tc>
            </w:tr>
            <w:tr w14:paraId="579437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573" w:type="dxa"/>
                  <w:vAlign w:val="center"/>
                </w:tcPr>
                <w:p w14:paraId="76CCD7C6">
                  <w:pPr>
                    <w:pStyle w:val="32"/>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w:t>
                  </w:r>
                </w:p>
              </w:tc>
              <w:tc>
                <w:tcPr>
                  <w:tcW w:w="685" w:type="dxa"/>
                  <w:vAlign w:val="center"/>
                </w:tcPr>
                <w:p w14:paraId="7EB927FE">
                  <w:pPr>
                    <w:pStyle w:val="32"/>
                    <w:jc w:val="center"/>
                    <w:rPr>
                      <w:rFonts w:hint="default" w:ascii="Times New Roman" w:hAnsi="Times New Roman" w:eastAsia="宋体" w:cs="Times New Roman"/>
                      <w:iCs/>
                      <w:color w:val="auto"/>
                      <w:sz w:val="18"/>
                      <w:szCs w:val="18"/>
                      <w:lang w:val="en-US" w:eastAsia="zh-CN" w:bidi="ar-SA"/>
                    </w:rPr>
                  </w:pPr>
                  <w:r>
                    <w:rPr>
                      <w:rFonts w:hint="eastAsia" w:cs="Times New Roman"/>
                      <w:iCs/>
                      <w:color w:val="auto"/>
                      <w:sz w:val="18"/>
                      <w:szCs w:val="18"/>
                      <w:lang w:val="en-US" w:eastAsia="zh-CN" w:bidi="ar-SA"/>
                    </w:rPr>
                    <w:t>/</w:t>
                  </w:r>
                </w:p>
              </w:tc>
              <w:tc>
                <w:tcPr>
                  <w:tcW w:w="594" w:type="dxa"/>
                  <w:vAlign w:val="center"/>
                </w:tcPr>
                <w:p w14:paraId="49BCA2DD">
                  <w:pPr>
                    <w:pStyle w:val="32"/>
                    <w:jc w:val="center"/>
                    <w:rPr>
                      <w:rFonts w:hint="default" w:ascii="Times New Roman" w:hAnsi="Times New Roman" w:eastAsia="宋体" w:cs="Times New Roman"/>
                      <w:iCs/>
                      <w:color w:val="auto"/>
                      <w:sz w:val="18"/>
                      <w:szCs w:val="18"/>
                      <w:lang w:val="en-US" w:eastAsia="zh-CN" w:bidi="ar-SA"/>
                    </w:rPr>
                  </w:pPr>
                  <w:r>
                    <w:rPr>
                      <w:rFonts w:hint="eastAsia" w:cs="Times New Roman"/>
                      <w:iCs/>
                      <w:color w:val="auto"/>
                      <w:sz w:val="18"/>
                      <w:szCs w:val="18"/>
                      <w:lang w:val="en-US" w:eastAsia="zh-CN" w:bidi="ar-SA"/>
                    </w:rPr>
                    <w:t>/</w:t>
                  </w:r>
                </w:p>
              </w:tc>
              <w:tc>
                <w:tcPr>
                  <w:tcW w:w="717" w:type="dxa"/>
                  <w:vAlign w:val="center"/>
                </w:tcPr>
                <w:p w14:paraId="2309BFA7">
                  <w:pPr>
                    <w:pStyle w:val="32"/>
                    <w:jc w:val="center"/>
                    <w:rPr>
                      <w:rFonts w:hint="default" w:ascii="Times New Roman" w:hAnsi="Times New Roman" w:eastAsia="宋体" w:cs="Times New Roman"/>
                      <w:iCs/>
                      <w:color w:val="auto"/>
                      <w:sz w:val="18"/>
                      <w:szCs w:val="18"/>
                      <w:highlight w:val="none"/>
                      <w:lang w:val="en-US" w:eastAsia="zh-CN" w:bidi="ar-SA"/>
                    </w:rPr>
                  </w:pPr>
                  <w:r>
                    <w:rPr>
                      <w:rFonts w:hint="eastAsia" w:cs="Times New Roman"/>
                      <w:iCs/>
                      <w:color w:val="auto"/>
                      <w:sz w:val="18"/>
                      <w:szCs w:val="18"/>
                      <w:highlight w:val="none"/>
                      <w:lang w:val="en-US" w:eastAsia="zh-CN" w:bidi="ar-SA"/>
                    </w:rPr>
                    <w:t>/</w:t>
                  </w:r>
                </w:p>
              </w:tc>
              <w:tc>
                <w:tcPr>
                  <w:tcW w:w="903" w:type="dxa"/>
                  <w:vAlign w:val="center"/>
                </w:tcPr>
                <w:p w14:paraId="2F4B5885">
                  <w:pPr>
                    <w:pStyle w:val="32"/>
                    <w:jc w:val="center"/>
                    <w:rPr>
                      <w:rFonts w:hint="default" w:ascii="Times New Roman" w:hAnsi="Times New Roman" w:eastAsia="宋体" w:cs="Times New Roman"/>
                      <w:iCs/>
                      <w:color w:val="auto"/>
                      <w:sz w:val="18"/>
                      <w:szCs w:val="18"/>
                      <w:lang w:val="en-US" w:eastAsia="zh-CN" w:bidi="ar-SA"/>
                    </w:rPr>
                  </w:pPr>
                  <w:r>
                    <w:rPr>
                      <w:rFonts w:hint="eastAsia" w:cs="Times New Roman"/>
                      <w:iCs/>
                      <w:color w:val="auto"/>
                      <w:sz w:val="18"/>
                      <w:szCs w:val="18"/>
                      <w:lang w:val="en-US" w:eastAsia="zh-CN" w:bidi="ar-SA"/>
                    </w:rPr>
                    <w:t>/</w:t>
                  </w:r>
                </w:p>
              </w:tc>
              <w:tc>
                <w:tcPr>
                  <w:tcW w:w="670" w:type="dxa"/>
                  <w:vAlign w:val="center"/>
                </w:tcPr>
                <w:p w14:paraId="665D87D8">
                  <w:pPr>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63" w:type="dxa"/>
                  <w:vAlign w:val="center"/>
                </w:tcPr>
                <w:p w14:paraId="5E1AB4A2">
                  <w:pPr>
                    <w:ind w:left="0" w:leftChars="0" w:firstLine="0" w:firstLineChars="0"/>
                    <w:jc w:val="both"/>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GB309</w:t>
                  </w:r>
                  <w:r>
                    <w:rPr>
                      <w:rFonts w:hint="eastAsia" w:ascii="Times New Roman" w:hAnsi="Times New Roman" w:eastAsia="宋体" w:cs="Times New Roman"/>
                      <w:color w:val="auto"/>
                      <w:sz w:val="18"/>
                      <w:szCs w:val="18"/>
                    </w:rPr>
                    <w:t>6-2008中</w:t>
                  </w:r>
                  <w:r>
                    <w:rPr>
                      <w:rFonts w:hint="eastAsia" w:cs="Times New Roman"/>
                      <w:color w:val="auto"/>
                      <w:sz w:val="18"/>
                      <w:szCs w:val="18"/>
                      <w:lang w:val="en-US" w:eastAsia="zh-CN"/>
                    </w:rPr>
                    <w:t>三</w:t>
                  </w:r>
                  <w:r>
                    <w:rPr>
                      <w:rFonts w:hint="eastAsia" w:ascii="Times New Roman" w:hAnsi="Times New Roman" w:eastAsia="宋体" w:cs="Times New Roman"/>
                      <w:color w:val="auto"/>
                      <w:sz w:val="18"/>
                      <w:szCs w:val="18"/>
                    </w:rPr>
                    <w:t>类</w:t>
                  </w:r>
                  <w:r>
                    <w:rPr>
                      <w:rFonts w:hint="default" w:ascii="Times New Roman" w:hAnsi="Times New Roman" w:eastAsia="宋体" w:cs="Times New Roman"/>
                      <w:color w:val="auto"/>
                      <w:sz w:val="18"/>
                      <w:szCs w:val="18"/>
                    </w:rPr>
                    <w:t>标准</w:t>
                  </w:r>
                </w:p>
              </w:tc>
              <w:tc>
                <w:tcPr>
                  <w:tcW w:w="2518" w:type="dxa"/>
                  <w:vAlign w:val="center"/>
                </w:tcPr>
                <w:p w14:paraId="7D1E01B1">
                  <w:pPr>
                    <w:ind w:left="0" w:leftChars="0" w:firstLine="0" w:firstLineChars="0"/>
                    <w:jc w:val="both"/>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项目50m内无声环境保护目标。</w:t>
                  </w:r>
                </w:p>
              </w:tc>
            </w:tr>
            <w:tr w14:paraId="3A5AD0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1" w:hRule="atLeast"/>
                <w:jc w:val="center"/>
              </w:trPr>
              <w:tc>
                <w:tcPr>
                  <w:tcW w:w="573" w:type="dxa"/>
                  <w:vAlign w:val="center"/>
                </w:tcPr>
                <w:p w14:paraId="1BB8E77D">
                  <w:pPr>
                    <w:spacing w:line="300" w:lineRule="exact"/>
                    <w:ind w:left="0" w:lef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地下水环境</w:t>
                  </w:r>
                </w:p>
              </w:tc>
              <w:tc>
                <w:tcPr>
                  <w:tcW w:w="685" w:type="dxa"/>
                  <w:vAlign w:val="center"/>
                </w:tcPr>
                <w:p w14:paraId="7F50122B">
                  <w:pPr>
                    <w:spacing w:line="340" w:lineRule="exact"/>
                    <w:ind w:left="0" w:leftChars="0"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594" w:type="dxa"/>
                  <w:vAlign w:val="center"/>
                </w:tcPr>
                <w:p w14:paraId="0C5519A6">
                  <w:pPr>
                    <w:spacing w:line="340" w:lineRule="exact"/>
                    <w:ind w:left="0" w:leftChars="0"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717" w:type="dxa"/>
                  <w:vAlign w:val="center"/>
                </w:tcPr>
                <w:p w14:paraId="0EF2FED9">
                  <w:pPr>
                    <w:spacing w:line="340" w:lineRule="exact"/>
                    <w:ind w:left="0" w:leftChars="0"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03" w:type="dxa"/>
                  <w:vAlign w:val="center"/>
                </w:tcPr>
                <w:p w14:paraId="6406EBB2">
                  <w:pPr>
                    <w:spacing w:line="340" w:lineRule="exact"/>
                    <w:ind w:left="0" w:leftChars="0" w:firstLine="0" w:firstLineChars="0"/>
                    <w:jc w:val="center"/>
                    <w:rPr>
                      <w:rFonts w:hint="eastAsia" w:ascii="Times New Roman" w:hAnsi="Times New Roman" w:eastAsia="宋体"/>
                      <w:color w:val="auto"/>
                      <w:kern w:val="2"/>
                      <w:sz w:val="18"/>
                      <w:szCs w:val="18"/>
                      <w:lang w:val="en-US" w:eastAsia="zh-CN" w:bidi="ar-SA"/>
                    </w:rPr>
                  </w:pPr>
                  <w:r>
                    <w:rPr>
                      <w:rFonts w:hint="eastAsia" w:ascii="Times New Roman" w:hAnsi="Times New Roman" w:eastAsia="宋体"/>
                      <w:color w:val="auto"/>
                      <w:sz w:val="18"/>
                      <w:szCs w:val="18"/>
                      <w:lang w:val="en-US" w:eastAsia="zh-CN"/>
                    </w:rPr>
                    <w:t>/</w:t>
                  </w:r>
                </w:p>
              </w:tc>
              <w:tc>
                <w:tcPr>
                  <w:tcW w:w="670" w:type="dxa"/>
                  <w:vAlign w:val="center"/>
                </w:tcPr>
                <w:p w14:paraId="1DF1B383">
                  <w:pPr>
                    <w:spacing w:line="240" w:lineRule="auto"/>
                    <w:ind w:left="0" w:leftChars="0"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c>
                <w:tcPr>
                  <w:tcW w:w="1363" w:type="dxa"/>
                  <w:vAlign w:val="center"/>
                </w:tcPr>
                <w:p w14:paraId="07C39BD7">
                  <w:pPr>
                    <w:spacing w:line="240" w:lineRule="auto"/>
                    <w:ind w:left="0" w:lef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2518" w:type="dxa"/>
                  <w:vAlign w:val="center"/>
                </w:tcPr>
                <w:p w14:paraId="53B15539">
                  <w:pPr>
                    <w:spacing w:line="240" w:lineRule="auto"/>
                    <w:ind w:left="0" w:leftChars="0" w:firstLine="0" w:firstLineChars="0"/>
                    <w:jc w:val="both"/>
                    <w:rPr>
                      <w:rFonts w:hint="eastAsia" w:ascii="Times New Roman" w:hAnsi="Times New Roman" w:eastAsia="宋体" w:cs="Times New Roman"/>
                      <w:color w:val="auto"/>
                      <w:kern w:val="2"/>
                      <w:sz w:val="18"/>
                      <w:szCs w:val="18"/>
                      <w:lang w:val="en-US" w:eastAsia="zh-CN" w:bidi="ar-SA"/>
                    </w:rPr>
                  </w:pPr>
                  <w:r>
                    <w:rPr>
                      <w:rFonts w:hint="eastAsia"/>
                      <w:color w:val="auto"/>
                      <w:kern w:val="0"/>
                      <w:sz w:val="18"/>
                      <w:szCs w:val="18"/>
                    </w:rPr>
                    <w:t>项目厂界外</w:t>
                  </w:r>
                  <w:r>
                    <w:rPr>
                      <w:color w:val="auto"/>
                      <w:kern w:val="0"/>
                      <w:sz w:val="18"/>
                      <w:szCs w:val="18"/>
                    </w:rPr>
                    <w:t>500</w:t>
                  </w:r>
                  <w:r>
                    <w:rPr>
                      <w:rFonts w:hint="eastAsia"/>
                      <w:color w:val="auto"/>
                      <w:kern w:val="0"/>
                      <w:sz w:val="18"/>
                      <w:szCs w:val="18"/>
                    </w:rPr>
                    <w:t>m范围内无地下水集中式饮用水水源和热水、矿泉水、温泉等特殊地下水资源</w:t>
                  </w:r>
                </w:p>
              </w:tc>
            </w:tr>
            <w:tr w14:paraId="01CA66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8" w:hRule="atLeast"/>
                <w:jc w:val="center"/>
              </w:trPr>
              <w:tc>
                <w:tcPr>
                  <w:tcW w:w="573" w:type="dxa"/>
                  <w:vAlign w:val="center"/>
                </w:tcPr>
                <w:p w14:paraId="28D7231E">
                  <w:pPr>
                    <w:spacing w:line="300" w:lineRule="exact"/>
                    <w:ind w:left="0" w:lef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生态环境</w:t>
                  </w:r>
                </w:p>
              </w:tc>
              <w:tc>
                <w:tcPr>
                  <w:tcW w:w="685" w:type="dxa"/>
                  <w:vAlign w:val="center"/>
                </w:tcPr>
                <w:p w14:paraId="5E80F3B3">
                  <w:pPr>
                    <w:spacing w:line="340" w:lineRule="exact"/>
                    <w:ind w:left="0" w:leftChars="0"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594" w:type="dxa"/>
                  <w:vAlign w:val="center"/>
                </w:tcPr>
                <w:p w14:paraId="7A2ADEE2">
                  <w:pPr>
                    <w:spacing w:line="340" w:lineRule="exact"/>
                    <w:ind w:left="0" w:leftChars="0"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c>
                <w:tcPr>
                  <w:tcW w:w="717" w:type="dxa"/>
                  <w:vAlign w:val="center"/>
                </w:tcPr>
                <w:p w14:paraId="7ED49438">
                  <w:pPr>
                    <w:spacing w:line="340" w:lineRule="exact"/>
                    <w:ind w:left="0" w:lef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903" w:type="dxa"/>
                  <w:vAlign w:val="center"/>
                </w:tcPr>
                <w:p w14:paraId="7495D398">
                  <w:pPr>
                    <w:spacing w:line="340" w:lineRule="exact"/>
                    <w:ind w:left="0" w:leftChars="0" w:firstLine="0" w:firstLineChars="0"/>
                    <w:jc w:val="center"/>
                    <w:rPr>
                      <w:rFonts w:hint="eastAsia" w:ascii="Times New Roman" w:hAnsi="Times New Roman" w:eastAsia="宋体"/>
                      <w:color w:val="auto"/>
                      <w:kern w:val="2"/>
                      <w:sz w:val="18"/>
                      <w:szCs w:val="18"/>
                      <w:lang w:val="en-US" w:eastAsia="zh-CN" w:bidi="ar-SA"/>
                    </w:rPr>
                  </w:pPr>
                  <w:r>
                    <w:rPr>
                      <w:rFonts w:hint="eastAsia" w:ascii="Times New Roman" w:hAnsi="Times New Roman" w:eastAsia="宋体"/>
                      <w:color w:val="auto"/>
                      <w:sz w:val="18"/>
                      <w:szCs w:val="18"/>
                      <w:lang w:val="en-US" w:eastAsia="zh-CN"/>
                    </w:rPr>
                    <w:t>/</w:t>
                  </w:r>
                </w:p>
              </w:tc>
              <w:tc>
                <w:tcPr>
                  <w:tcW w:w="670" w:type="dxa"/>
                  <w:vAlign w:val="center"/>
                </w:tcPr>
                <w:p w14:paraId="02890AFC">
                  <w:pPr>
                    <w:spacing w:line="240" w:lineRule="auto"/>
                    <w:ind w:left="0" w:leftChars="0"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c>
                <w:tcPr>
                  <w:tcW w:w="1363" w:type="dxa"/>
                  <w:vAlign w:val="center"/>
                </w:tcPr>
                <w:p w14:paraId="7C6A611F">
                  <w:pPr>
                    <w:spacing w:line="240" w:lineRule="auto"/>
                    <w:ind w:left="0" w:leftChars="0" w:firstLine="0" w:firstLineChars="0"/>
                    <w:jc w:val="center"/>
                    <w:rPr>
                      <w:rFonts w:hint="default"/>
                      <w:color w:val="auto"/>
                      <w:kern w:val="0"/>
                      <w:sz w:val="18"/>
                      <w:szCs w:val="18"/>
                      <w:lang w:val="en-US" w:eastAsia="zh-CN" w:bidi="ar-SA"/>
                    </w:rPr>
                  </w:pPr>
                  <w:r>
                    <w:rPr>
                      <w:rFonts w:hint="eastAsia"/>
                      <w:color w:val="auto"/>
                      <w:kern w:val="0"/>
                      <w:sz w:val="18"/>
                      <w:szCs w:val="18"/>
                      <w:lang w:val="en-US" w:eastAsia="zh-CN" w:bidi="ar-SA"/>
                    </w:rPr>
                    <w:t>/</w:t>
                  </w:r>
                </w:p>
              </w:tc>
              <w:tc>
                <w:tcPr>
                  <w:tcW w:w="2518" w:type="dxa"/>
                  <w:vAlign w:val="center"/>
                </w:tcPr>
                <w:p w14:paraId="278585F7">
                  <w:pPr>
                    <w:spacing w:line="240" w:lineRule="auto"/>
                    <w:ind w:left="0" w:leftChars="0" w:firstLine="0" w:firstLineChars="0"/>
                    <w:jc w:val="both"/>
                    <w:rPr>
                      <w:rFonts w:hint="default" w:eastAsia="宋体"/>
                      <w:color w:val="auto"/>
                      <w:kern w:val="0"/>
                      <w:sz w:val="18"/>
                      <w:szCs w:val="18"/>
                      <w:lang w:val="en-US" w:eastAsia="zh-CN" w:bidi="ar-SA"/>
                    </w:rPr>
                  </w:pPr>
                  <w:r>
                    <w:rPr>
                      <w:rFonts w:hint="eastAsia"/>
                      <w:color w:val="auto"/>
                      <w:kern w:val="0"/>
                      <w:sz w:val="18"/>
                      <w:szCs w:val="18"/>
                      <w:lang w:val="en-US" w:eastAsia="zh-CN"/>
                    </w:rPr>
                    <w:t>本次项目租赁</w:t>
                  </w:r>
                  <w:r>
                    <w:rPr>
                      <w:rFonts w:hint="eastAsia"/>
                      <w:color w:val="auto"/>
                      <w:kern w:val="0"/>
                      <w:sz w:val="18"/>
                      <w:szCs w:val="18"/>
                    </w:rPr>
                    <w:t>现有厂</w:t>
                  </w:r>
                  <w:r>
                    <w:rPr>
                      <w:rFonts w:hint="eastAsia"/>
                      <w:color w:val="auto"/>
                      <w:kern w:val="0"/>
                      <w:sz w:val="18"/>
                      <w:szCs w:val="18"/>
                      <w:lang w:val="en-US" w:eastAsia="zh-CN"/>
                    </w:rPr>
                    <w:t>房作为生产办公用地</w:t>
                  </w:r>
                  <w:r>
                    <w:rPr>
                      <w:rFonts w:hint="eastAsia"/>
                      <w:color w:val="auto"/>
                      <w:kern w:val="0"/>
                      <w:sz w:val="18"/>
                      <w:szCs w:val="18"/>
                    </w:rPr>
                    <w:t>，无新增用地</w:t>
                  </w:r>
                  <w:r>
                    <w:rPr>
                      <w:rFonts w:hint="eastAsia"/>
                      <w:color w:val="auto"/>
                      <w:kern w:val="0"/>
                      <w:sz w:val="18"/>
                      <w:szCs w:val="18"/>
                      <w:lang w:eastAsia="zh-CN"/>
                    </w:rPr>
                    <w:t>，</w:t>
                  </w:r>
                  <w:r>
                    <w:rPr>
                      <w:rFonts w:hint="eastAsia"/>
                      <w:color w:val="auto"/>
                      <w:kern w:val="0"/>
                      <w:sz w:val="18"/>
                      <w:szCs w:val="18"/>
                      <w:lang w:val="en-US" w:eastAsia="zh-CN"/>
                    </w:rPr>
                    <w:t>且选址周围无生态环境保护目标</w:t>
                  </w:r>
                </w:p>
              </w:tc>
            </w:tr>
          </w:tbl>
          <w:p w14:paraId="4BAF5038">
            <w:pPr>
              <w:rPr>
                <w:rFonts w:hint="default" w:ascii="Times New Roman" w:hAnsi="Times New Roman" w:eastAsia="宋体" w:cs="Times New Roman"/>
                <w:color w:val="auto"/>
                <w:lang w:val="en-US" w:eastAsia="zh-CN"/>
              </w:rPr>
            </w:pPr>
          </w:p>
        </w:tc>
      </w:tr>
      <w:tr w14:paraId="0437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03" w:type="dxa"/>
            <w:vAlign w:val="center"/>
          </w:tcPr>
          <w:p w14:paraId="5F3D75F2">
            <w:pPr>
              <w:ind w:left="0" w:leftChars="0"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污染物排放控制标准</w:t>
            </w:r>
          </w:p>
        </w:tc>
        <w:tc>
          <w:tcPr>
            <w:tcW w:w="8508" w:type="dxa"/>
            <w:vAlign w:val="top"/>
          </w:tcPr>
          <w:p w14:paraId="075D9B6E">
            <w:pPr>
              <w:widowControl w:val="0"/>
              <w:numPr>
                <w:ilvl w:val="0"/>
                <w:numId w:val="0"/>
              </w:numPr>
              <w:wordWrap/>
              <w:adjustRightInd/>
              <w:snapToGrid/>
              <w:spacing w:line="360" w:lineRule="auto"/>
              <w:ind w:firstLine="420" w:firstLineChars="200"/>
              <w:textAlignment w:val="auto"/>
              <w:rPr>
                <w:rFonts w:hint="default"/>
                <w:lang w:val="en-US" w:eastAsia="zh-CN"/>
              </w:rPr>
            </w:pPr>
            <w:r>
              <w:rPr>
                <w:rFonts w:hint="eastAsia"/>
                <w:lang w:val="en-US" w:eastAsia="zh-CN"/>
              </w:rPr>
              <w:t>（1）</w:t>
            </w:r>
            <w:r>
              <w:rPr>
                <w:rFonts w:hint="default"/>
                <w:b/>
                <w:bCs/>
                <w:lang w:val="en-US" w:eastAsia="zh-CN"/>
              </w:rPr>
              <w:t>废气</w:t>
            </w:r>
          </w:p>
          <w:p w14:paraId="00E1DC38">
            <w:pPr>
              <w:pStyle w:val="16"/>
              <w:widowControl w:val="0"/>
              <w:wordWrap/>
              <w:adjustRightInd/>
              <w:snapToGrid/>
              <w:spacing w:after="0" w:line="360" w:lineRule="auto"/>
              <w:textAlignment w:val="auto"/>
              <w:rPr>
                <w:rFonts w:hint="default"/>
                <w:lang w:val="en-US" w:eastAsia="zh-CN"/>
              </w:rPr>
            </w:pPr>
            <w:r>
              <w:rPr>
                <w:rFonts w:hint="eastAsia"/>
                <w:lang w:val="en-US" w:eastAsia="zh-CN"/>
              </w:rPr>
              <w:t>项目运营期产生的废气主要有颗粒物和有机废气。</w:t>
            </w:r>
          </w:p>
          <w:p w14:paraId="3B4B5DD6">
            <w:pPr>
              <w:pStyle w:val="16"/>
              <w:widowControl w:val="0"/>
              <w:wordWrap/>
              <w:adjustRightInd/>
              <w:snapToGrid/>
              <w:spacing w:after="0" w:line="360" w:lineRule="auto"/>
              <w:textAlignment w:val="auto"/>
              <w:rPr>
                <w:rFonts w:hint="eastAsia"/>
                <w:lang w:val="en-US" w:eastAsia="zh-CN"/>
              </w:rPr>
            </w:pPr>
            <w:r>
              <w:rPr>
                <w:rFonts w:hint="eastAsia"/>
                <w:lang w:val="en-US" w:eastAsia="zh-CN"/>
              </w:rPr>
              <w:t>项目木屑粉尘和打磨粉尘经处理后无组织排放，排放执行《大气污染物综合排放标准》(GB16297-1996)表2及无组织排放监控浓度限值；上漆和晾干等工序产生的有机废气（主要污染因子为：甲苯、二甲苯、非甲烷总烃、乙酸乙酯和乙酸丁酯合计）其排放执行《工业涂装工序挥发性有机物排放标准》(DB35/1783-2018)中表1家具制造、表3、表4标准；非甲烷总烃厂区内监控点同时满足《挥发性有机物无组织排放控制标准》（GB37822-2019）附录A中表A.1标准，</w:t>
            </w:r>
            <w:r>
              <w:rPr>
                <w:rFonts w:hint="default"/>
                <w:lang w:val="en-US" w:eastAsia="zh-CN"/>
              </w:rPr>
              <w:t>详见下表3-</w:t>
            </w:r>
            <w:r>
              <w:rPr>
                <w:rFonts w:hint="eastAsia"/>
                <w:lang w:val="en-US" w:eastAsia="zh-CN"/>
              </w:rPr>
              <w:t>8。</w:t>
            </w:r>
          </w:p>
          <w:p w14:paraId="73042C65">
            <w:pPr>
              <w:pStyle w:val="15"/>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表3-</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 xml:space="preserve">  项目废气污染物执行标准一览表</w:t>
            </w:r>
          </w:p>
          <w:tbl>
            <w:tblPr>
              <w:tblStyle w:val="17"/>
              <w:tblW w:w="809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36"/>
              <w:gridCol w:w="2018"/>
              <w:gridCol w:w="1498"/>
              <w:gridCol w:w="1425"/>
              <w:gridCol w:w="1621"/>
            </w:tblGrid>
            <w:tr w14:paraId="1335E2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4" w:hRule="exact"/>
              </w:trPr>
              <w:tc>
                <w:tcPr>
                  <w:tcW w:w="1536" w:type="dxa"/>
                  <w:vMerge w:val="restart"/>
                  <w:tcBorders>
                    <w:tl2br w:val="nil"/>
                    <w:tr2bl w:val="nil"/>
                  </w:tcBorders>
                  <w:vAlign w:val="center"/>
                </w:tcPr>
                <w:p w14:paraId="00AA4E6F">
                  <w:pPr>
                    <w:pStyle w:val="31"/>
                    <w:spacing w:before="107" w:line="240" w:lineRule="auto"/>
                    <w:ind w:left="0" w:leftChars="0" w:right="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监控点</w:t>
                  </w:r>
                </w:p>
              </w:tc>
              <w:tc>
                <w:tcPr>
                  <w:tcW w:w="2018" w:type="dxa"/>
                  <w:vMerge w:val="restart"/>
                  <w:tcBorders>
                    <w:tl2br w:val="nil"/>
                    <w:tr2bl w:val="nil"/>
                  </w:tcBorders>
                  <w:vAlign w:val="center"/>
                </w:tcPr>
                <w:p w14:paraId="5F593EE8">
                  <w:pPr>
                    <w:pStyle w:val="31"/>
                    <w:spacing w:before="107" w:line="240" w:lineRule="auto"/>
                    <w:ind w:left="0" w:leftChars="0" w:right="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污染物</w:t>
                  </w:r>
                </w:p>
              </w:tc>
              <w:tc>
                <w:tcPr>
                  <w:tcW w:w="2923" w:type="dxa"/>
                  <w:gridSpan w:val="2"/>
                  <w:tcBorders>
                    <w:tl2br w:val="nil"/>
                    <w:tr2bl w:val="nil"/>
                  </w:tcBorders>
                  <w:vAlign w:val="center"/>
                </w:tcPr>
                <w:p w14:paraId="71A30F2F">
                  <w:pPr>
                    <w:pStyle w:val="31"/>
                    <w:spacing w:line="240" w:lineRule="auto"/>
                    <w:ind w:left="0" w:leftChars="0" w:right="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标准限值</w:t>
                  </w:r>
                </w:p>
              </w:tc>
              <w:tc>
                <w:tcPr>
                  <w:tcW w:w="1621" w:type="dxa"/>
                  <w:vMerge w:val="restart"/>
                  <w:tcBorders>
                    <w:tl2br w:val="nil"/>
                    <w:tr2bl w:val="nil"/>
                  </w:tcBorders>
                  <w:vAlign w:val="center"/>
                </w:tcPr>
                <w:p w14:paraId="089FACAE">
                  <w:pPr>
                    <w:pStyle w:val="31"/>
                    <w:spacing w:before="107" w:line="240" w:lineRule="auto"/>
                    <w:ind w:left="0" w:leftChars="0" w:right="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标准来源</w:t>
                  </w:r>
                </w:p>
              </w:tc>
            </w:tr>
            <w:tr w14:paraId="4C1A8B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exact"/>
              </w:trPr>
              <w:tc>
                <w:tcPr>
                  <w:tcW w:w="1536" w:type="dxa"/>
                  <w:vMerge w:val="continue"/>
                  <w:tcBorders>
                    <w:tl2br w:val="nil"/>
                    <w:tr2bl w:val="nil"/>
                  </w:tcBorders>
                  <w:vAlign w:val="center"/>
                </w:tcPr>
                <w:p w14:paraId="5349C8CF">
                  <w:pPr>
                    <w:spacing w:line="240" w:lineRule="auto"/>
                    <w:jc w:val="center"/>
                    <w:rPr>
                      <w:rFonts w:hint="default" w:ascii="Times New Roman" w:hAnsi="Times New Roman" w:cs="Times New Roman"/>
                      <w:b/>
                      <w:bCs/>
                      <w:sz w:val="18"/>
                      <w:szCs w:val="18"/>
                    </w:rPr>
                  </w:pPr>
                </w:p>
              </w:tc>
              <w:tc>
                <w:tcPr>
                  <w:tcW w:w="2018" w:type="dxa"/>
                  <w:vMerge w:val="continue"/>
                  <w:tcBorders>
                    <w:tl2br w:val="nil"/>
                    <w:tr2bl w:val="nil"/>
                  </w:tcBorders>
                  <w:vAlign w:val="center"/>
                </w:tcPr>
                <w:p w14:paraId="77DDCC75">
                  <w:pPr>
                    <w:spacing w:line="240" w:lineRule="auto"/>
                    <w:jc w:val="center"/>
                    <w:rPr>
                      <w:rFonts w:hint="default" w:ascii="Times New Roman" w:hAnsi="Times New Roman" w:cs="Times New Roman"/>
                      <w:b/>
                      <w:bCs/>
                      <w:sz w:val="18"/>
                      <w:szCs w:val="18"/>
                    </w:rPr>
                  </w:pPr>
                </w:p>
              </w:tc>
              <w:tc>
                <w:tcPr>
                  <w:tcW w:w="1498" w:type="dxa"/>
                  <w:tcBorders>
                    <w:tl2br w:val="nil"/>
                    <w:tr2bl w:val="nil"/>
                  </w:tcBorders>
                  <w:vAlign w:val="center"/>
                </w:tcPr>
                <w:p w14:paraId="133910B4">
                  <w:pPr>
                    <w:pStyle w:val="31"/>
                    <w:spacing w:line="240" w:lineRule="auto"/>
                    <w:ind w:left="0" w:leftChars="0" w:right="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排放浓度</w:t>
                  </w:r>
                </w:p>
              </w:tc>
              <w:tc>
                <w:tcPr>
                  <w:tcW w:w="1425" w:type="dxa"/>
                  <w:tcBorders>
                    <w:tl2br w:val="nil"/>
                    <w:tr2bl w:val="nil"/>
                  </w:tcBorders>
                  <w:vAlign w:val="center"/>
                </w:tcPr>
                <w:p w14:paraId="13AEB543">
                  <w:pPr>
                    <w:pStyle w:val="31"/>
                    <w:spacing w:line="240" w:lineRule="auto"/>
                    <w:ind w:left="0" w:leftChars="0" w:right="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排放速率</w:t>
                  </w:r>
                </w:p>
              </w:tc>
              <w:tc>
                <w:tcPr>
                  <w:tcW w:w="1621" w:type="dxa"/>
                  <w:vMerge w:val="continue"/>
                  <w:tcBorders>
                    <w:tl2br w:val="nil"/>
                    <w:tr2bl w:val="nil"/>
                  </w:tcBorders>
                  <w:vAlign w:val="center"/>
                </w:tcPr>
                <w:p w14:paraId="526893AE">
                  <w:pPr>
                    <w:spacing w:line="240" w:lineRule="auto"/>
                    <w:jc w:val="center"/>
                    <w:rPr>
                      <w:rFonts w:hint="default" w:ascii="Times New Roman" w:hAnsi="Times New Roman" w:cs="Times New Roman"/>
                      <w:b/>
                      <w:bCs/>
                      <w:sz w:val="18"/>
                      <w:szCs w:val="18"/>
                    </w:rPr>
                  </w:pPr>
                </w:p>
              </w:tc>
            </w:tr>
            <w:tr w14:paraId="613D4F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4" w:hRule="exact"/>
              </w:trPr>
              <w:tc>
                <w:tcPr>
                  <w:tcW w:w="1536" w:type="dxa"/>
                  <w:vMerge w:val="restart"/>
                  <w:tcBorders>
                    <w:tl2br w:val="nil"/>
                    <w:tr2bl w:val="nil"/>
                  </w:tcBorders>
                  <w:vAlign w:val="center"/>
                </w:tcPr>
                <w:p w14:paraId="177BD1EA">
                  <w:pPr>
                    <w:pStyle w:val="31"/>
                    <w:spacing w:line="240" w:lineRule="auto"/>
                    <w:ind w:left="0" w:leftChars="0" w:right="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有机废气排放口DA001</w:t>
                  </w:r>
                </w:p>
              </w:tc>
              <w:tc>
                <w:tcPr>
                  <w:tcW w:w="2018" w:type="dxa"/>
                  <w:tcBorders>
                    <w:tl2br w:val="nil"/>
                    <w:tr2bl w:val="nil"/>
                  </w:tcBorders>
                  <w:vAlign w:val="center"/>
                </w:tcPr>
                <w:p w14:paraId="7B897E77">
                  <w:pPr>
                    <w:pStyle w:val="31"/>
                    <w:spacing w:before="2"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非甲烷总烃</w:t>
                  </w:r>
                </w:p>
              </w:tc>
              <w:tc>
                <w:tcPr>
                  <w:tcW w:w="1498" w:type="dxa"/>
                  <w:tcBorders>
                    <w:tl2br w:val="nil"/>
                    <w:tr2bl w:val="nil"/>
                  </w:tcBorders>
                  <w:vAlign w:val="center"/>
                </w:tcPr>
                <w:p w14:paraId="52702916">
                  <w:pPr>
                    <w:pStyle w:val="31"/>
                    <w:spacing w:before="47" w:line="240" w:lineRule="auto"/>
                    <w:ind w:left="0" w:leftChars="0" w:right="0" w:rightChars="0" w:firstLine="0" w:firstLineChars="0"/>
                    <w:jc w:val="center"/>
                    <w:rPr>
                      <w:rFonts w:hint="eastAsia" w:ascii="Times New Roman" w:hAnsi="Times New Roman" w:eastAsia="Times New Roman" w:cs="Times New Roman"/>
                      <w:color w:val="auto"/>
                      <w:kern w:val="0"/>
                      <w:sz w:val="18"/>
                      <w:szCs w:val="18"/>
                      <w:lang w:val="en-US" w:eastAsia="zh-CN" w:bidi="ar-SA"/>
                    </w:rPr>
                  </w:pPr>
                  <w:r>
                    <w:rPr>
                      <w:rFonts w:hint="default" w:ascii="Times New Roman" w:hAnsi="Times New Roman" w:cs="Times New Roman"/>
                      <w:sz w:val="18"/>
                      <w:szCs w:val="18"/>
                    </w:rPr>
                    <w:t>50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0E214894">
                  <w:pPr>
                    <w:pStyle w:val="31"/>
                    <w:spacing w:before="2"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eastAsia="Times New Roman" w:cs="Times New Roman"/>
                      <w:sz w:val="18"/>
                      <w:szCs w:val="18"/>
                    </w:rPr>
                    <w:t>15m</w:t>
                  </w: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2.9kg/h</w:t>
                  </w:r>
                </w:p>
              </w:tc>
              <w:tc>
                <w:tcPr>
                  <w:tcW w:w="1621" w:type="dxa"/>
                  <w:vMerge w:val="restart"/>
                  <w:tcBorders>
                    <w:tl2br w:val="nil"/>
                    <w:tr2bl w:val="nil"/>
                  </w:tcBorders>
                  <w:vAlign w:val="center"/>
                </w:tcPr>
                <w:p w14:paraId="25D01928">
                  <w:pPr>
                    <w:pStyle w:val="31"/>
                    <w:spacing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DB35/1783-2018</w:t>
                  </w:r>
                </w:p>
              </w:tc>
            </w:tr>
            <w:tr w14:paraId="705B23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2" w:hRule="exact"/>
              </w:trPr>
              <w:tc>
                <w:tcPr>
                  <w:tcW w:w="1536" w:type="dxa"/>
                  <w:vMerge w:val="continue"/>
                  <w:tcBorders>
                    <w:tl2br w:val="nil"/>
                    <w:tr2bl w:val="nil"/>
                  </w:tcBorders>
                  <w:vAlign w:val="center"/>
                </w:tcPr>
                <w:p w14:paraId="1745E615">
                  <w:pPr>
                    <w:pStyle w:val="31"/>
                    <w:spacing w:line="240" w:lineRule="auto"/>
                    <w:ind w:left="0" w:leftChars="0" w:right="0" w:firstLine="0" w:firstLineChars="0"/>
                    <w:jc w:val="center"/>
                    <w:rPr>
                      <w:rFonts w:hint="eastAsia" w:ascii="Times New Roman" w:hAnsi="Times New Roman" w:eastAsia="宋体" w:cs="Times New Roman"/>
                      <w:sz w:val="18"/>
                      <w:szCs w:val="18"/>
                      <w:lang w:val="en-US" w:eastAsia="zh-CN"/>
                    </w:rPr>
                  </w:pPr>
                </w:p>
              </w:tc>
              <w:tc>
                <w:tcPr>
                  <w:tcW w:w="2018" w:type="dxa"/>
                  <w:tcBorders>
                    <w:tl2br w:val="nil"/>
                    <w:tr2bl w:val="nil"/>
                  </w:tcBorders>
                  <w:vAlign w:val="center"/>
                </w:tcPr>
                <w:p w14:paraId="621BF43D">
                  <w:pPr>
                    <w:pStyle w:val="31"/>
                    <w:spacing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甲苯</w:t>
                  </w:r>
                </w:p>
              </w:tc>
              <w:tc>
                <w:tcPr>
                  <w:tcW w:w="1498" w:type="dxa"/>
                  <w:tcBorders>
                    <w:tl2br w:val="nil"/>
                    <w:tr2bl w:val="nil"/>
                  </w:tcBorders>
                  <w:vAlign w:val="center"/>
                </w:tcPr>
                <w:p w14:paraId="5F9B3187">
                  <w:pPr>
                    <w:pStyle w:val="31"/>
                    <w:spacing w:before="44"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eastAsia" w:cs="Times New Roman"/>
                      <w:sz w:val="18"/>
                      <w:szCs w:val="18"/>
                      <w:lang w:val="en-US" w:eastAsia="zh-CN"/>
                    </w:rPr>
                    <w:t>5</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460E24D5">
                  <w:pPr>
                    <w:pStyle w:val="31"/>
                    <w:spacing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eastAsia="Times New Roman" w:cs="Times New Roman"/>
                      <w:sz w:val="18"/>
                      <w:szCs w:val="18"/>
                    </w:rPr>
                    <w:t>15m</w:t>
                  </w: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0.</w:t>
                  </w:r>
                  <w:r>
                    <w:rPr>
                      <w:rFonts w:hint="eastAsia" w:eastAsia="宋体" w:cs="Times New Roman"/>
                      <w:sz w:val="18"/>
                      <w:szCs w:val="18"/>
                      <w:lang w:val="en-US" w:eastAsia="zh-CN"/>
                    </w:rPr>
                    <w:t>4</w:t>
                  </w:r>
                  <w:r>
                    <w:rPr>
                      <w:rFonts w:hint="default" w:ascii="Times New Roman" w:hAnsi="Times New Roman" w:eastAsia="Times New Roman" w:cs="Times New Roman"/>
                      <w:sz w:val="18"/>
                      <w:szCs w:val="18"/>
                    </w:rPr>
                    <w:t>kg/h</w:t>
                  </w:r>
                </w:p>
              </w:tc>
              <w:tc>
                <w:tcPr>
                  <w:tcW w:w="1621" w:type="dxa"/>
                  <w:vMerge w:val="continue"/>
                  <w:tcBorders>
                    <w:tl2br w:val="nil"/>
                    <w:tr2bl w:val="nil"/>
                  </w:tcBorders>
                  <w:vAlign w:val="center"/>
                </w:tcPr>
                <w:p w14:paraId="3221F874">
                  <w:pPr>
                    <w:pStyle w:val="31"/>
                    <w:spacing w:line="240" w:lineRule="auto"/>
                    <w:ind w:left="0" w:leftChars="0" w:right="0" w:firstLine="0" w:firstLineChars="0"/>
                    <w:jc w:val="center"/>
                    <w:rPr>
                      <w:rFonts w:hint="default" w:ascii="Times New Roman" w:hAnsi="Times New Roman" w:cs="Times New Roman"/>
                      <w:sz w:val="18"/>
                      <w:szCs w:val="18"/>
                    </w:rPr>
                  </w:pPr>
                </w:p>
              </w:tc>
            </w:tr>
            <w:tr w14:paraId="183BB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trPr>
              <w:tc>
                <w:tcPr>
                  <w:tcW w:w="1536" w:type="dxa"/>
                  <w:vMerge w:val="continue"/>
                  <w:tcBorders>
                    <w:tl2br w:val="nil"/>
                    <w:tr2bl w:val="nil"/>
                  </w:tcBorders>
                  <w:vAlign w:val="center"/>
                </w:tcPr>
                <w:p w14:paraId="7615DB20">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76BC0214">
                  <w:pPr>
                    <w:pStyle w:val="31"/>
                    <w:spacing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二甲苯</w:t>
                  </w:r>
                </w:p>
              </w:tc>
              <w:tc>
                <w:tcPr>
                  <w:tcW w:w="1498" w:type="dxa"/>
                  <w:tcBorders>
                    <w:tl2br w:val="nil"/>
                    <w:tr2bl w:val="nil"/>
                  </w:tcBorders>
                  <w:vAlign w:val="center"/>
                </w:tcPr>
                <w:p w14:paraId="017708C3">
                  <w:pPr>
                    <w:pStyle w:val="31"/>
                    <w:spacing w:before="44"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cs="Times New Roman"/>
                      <w:sz w:val="18"/>
                      <w:szCs w:val="18"/>
                    </w:rPr>
                    <w:t>15</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0EF59868">
                  <w:pPr>
                    <w:pStyle w:val="31"/>
                    <w:spacing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eastAsia="Times New Roman" w:cs="Times New Roman"/>
                      <w:sz w:val="18"/>
                      <w:szCs w:val="18"/>
                    </w:rPr>
                    <w:t>15m</w:t>
                  </w: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0.6kg/h</w:t>
                  </w:r>
                </w:p>
              </w:tc>
              <w:tc>
                <w:tcPr>
                  <w:tcW w:w="1621" w:type="dxa"/>
                  <w:vMerge w:val="continue"/>
                  <w:tcBorders>
                    <w:tl2br w:val="nil"/>
                    <w:tr2bl w:val="nil"/>
                  </w:tcBorders>
                  <w:vAlign w:val="center"/>
                </w:tcPr>
                <w:p w14:paraId="22E0EC75">
                  <w:pPr>
                    <w:spacing w:line="240" w:lineRule="auto"/>
                    <w:jc w:val="center"/>
                    <w:rPr>
                      <w:rFonts w:hint="default" w:ascii="Times New Roman" w:hAnsi="Times New Roman" w:cs="Times New Roman"/>
                      <w:sz w:val="18"/>
                      <w:szCs w:val="18"/>
                    </w:rPr>
                  </w:pPr>
                </w:p>
              </w:tc>
            </w:tr>
            <w:tr w14:paraId="72E2FC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3" w:hRule="exact"/>
              </w:trPr>
              <w:tc>
                <w:tcPr>
                  <w:tcW w:w="1536" w:type="dxa"/>
                  <w:vMerge w:val="continue"/>
                  <w:tcBorders>
                    <w:tl2br w:val="nil"/>
                    <w:tr2bl w:val="nil"/>
                  </w:tcBorders>
                  <w:vAlign w:val="center"/>
                </w:tcPr>
                <w:p w14:paraId="79F40C34">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6075D928">
                  <w:pPr>
                    <w:pStyle w:val="31"/>
                    <w:spacing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乙酸乙酯和乙酸丁酯合计</w:t>
                  </w:r>
                </w:p>
              </w:tc>
              <w:tc>
                <w:tcPr>
                  <w:tcW w:w="1498" w:type="dxa"/>
                  <w:tcBorders>
                    <w:tl2br w:val="nil"/>
                    <w:tr2bl w:val="nil"/>
                  </w:tcBorders>
                  <w:vAlign w:val="center"/>
                </w:tcPr>
                <w:p w14:paraId="10216293">
                  <w:pPr>
                    <w:pStyle w:val="31"/>
                    <w:spacing w:before="145"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sz w:val="18"/>
                      <w:szCs w:val="18"/>
                    </w:rPr>
                    <w:t>40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3DE1AC69">
                  <w:pPr>
                    <w:pStyle w:val="31"/>
                    <w:spacing w:before="100"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eastAsia="Times New Roman" w:cs="Times New Roman"/>
                      <w:sz w:val="18"/>
                      <w:szCs w:val="18"/>
                    </w:rPr>
                    <w:t>15m</w:t>
                  </w: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1.0kg/h</w:t>
                  </w:r>
                </w:p>
              </w:tc>
              <w:tc>
                <w:tcPr>
                  <w:tcW w:w="1621" w:type="dxa"/>
                  <w:vMerge w:val="continue"/>
                  <w:tcBorders>
                    <w:tl2br w:val="nil"/>
                    <w:tr2bl w:val="nil"/>
                  </w:tcBorders>
                  <w:vAlign w:val="center"/>
                </w:tcPr>
                <w:p w14:paraId="6A993118">
                  <w:pPr>
                    <w:spacing w:line="240" w:lineRule="auto"/>
                    <w:jc w:val="center"/>
                    <w:rPr>
                      <w:rFonts w:hint="default" w:ascii="Times New Roman" w:hAnsi="Times New Roman" w:cs="Times New Roman"/>
                      <w:sz w:val="18"/>
                      <w:szCs w:val="18"/>
                    </w:rPr>
                  </w:pPr>
                </w:p>
              </w:tc>
            </w:tr>
            <w:tr w14:paraId="3E51F9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trPr>
              <w:tc>
                <w:tcPr>
                  <w:tcW w:w="1536" w:type="dxa"/>
                  <w:vMerge w:val="continue"/>
                  <w:tcBorders>
                    <w:tl2br w:val="nil"/>
                    <w:tr2bl w:val="nil"/>
                  </w:tcBorders>
                  <w:vAlign w:val="center"/>
                </w:tcPr>
                <w:p w14:paraId="6A2A7D45">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0A62C01E">
                  <w:pPr>
                    <w:pStyle w:val="31"/>
                    <w:spacing w:before="4" w:line="240" w:lineRule="auto"/>
                    <w:ind w:left="0" w:leftChars="0" w:right="0" w:firstLine="0" w:firstLineChars="0"/>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颗粒物</w:t>
                  </w:r>
                  <w:r>
                    <w:rPr>
                      <w:rFonts w:hint="eastAsia" w:cs="Times New Roman"/>
                      <w:sz w:val="18"/>
                      <w:szCs w:val="18"/>
                      <w:lang w:val="en-US" w:eastAsia="zh-CN"/>
                    </w:rPr>
                    <w:t>*</w:t>
                  </w:r>
                </w:p>
              </w:tc>
              <w:tc>
                <w:tcPr>
                  <w:tcW w:w="1498" w:type="dxa"/>
                  <w:tcBorders>
                    <w:tl2br w:val="nil"/>
                    <w:tr2bl w:val="nil"/>
                  </w:tcBorders>
                  <w:vAlign w:val="center"/>
                </w:tcPr>
                <w:p w14:paraId="5A2120C9">
                  <w:pPr>
                    <w:pStyle w:val="31"/>
                    <w:spacing w:before="49"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120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5F26BE09">
                  <w:pPr>
                    <w:pStyle w:val="31"/>
                    <w:spacing w:before="4"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15m</w:t>
                  </w: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3.5kg/h</w:t>
                  </w:r>
                </w:p>
              </w:tc>
              <w:tc>
                <w:tcPr>
                  <w:tcW w:w="1621" w:type="dxa"/>
                  <w:tcBorders>
                    <w:tl2br w:val="nil"/>
                    <w:tr2bl w:val="nil"/>
                  </w:tcBorders>
                  <w:vAlign w:val="center"/>
                </w:tcPr>
                <w:p w14:paraId="06636646">
                  <w:pPr>
                    <w:pStyle w:val="31"/>
                    <w:spacing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GB16297-1996</w:t>
                  </w:r>
                </w:p>
              </w:tc>
            </w:tr>
            <w:tr w14:paraId="25118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1536" w:type="dxa"/>
                  <w:vMerge w:val="restart"/>
                  <w:tcBorders>
                    <w:tl2br w:val="nil"/>
                    <w:tr2bl w:val="nil"/>
                  </w:tcBorders>
                  <w:vAlign w:val="center"/>
                </w:tcPr>
                <w:p w14:paraId="3FE47E5D">
                  <w:pPr>
                    <w:pStyle w:val="31"/>
                    <w:spacing w:line="240" w:lineRule="auto"/>
                    <w:ind w:left="0" w:leftChars="0" w:right="161"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厂区内无组织</w:t>
                  </w:r>
                  <w:r>
                    <w:rPr>
                      <w:rFonts w:hint="default" w:ascii="Times New Roman" w:hAnsi="Times New Roman" w:eastAsia="宋体" w:cs="Times New Roman"/>
                      <w:spacing w:val="-95"/>
                      <w:sz w:val="18"/>
                      <w:szCs w:val="18"/>
                    </w:rPr>
                    <w:t xml:space="preserve"> </w:t>
                  </w:r>
                  <w:r>
                    <w:rPr>
                      <w:rFonts w:hint="default" w:ascii="Times New Roman" w:hAnsi="Times New Roman" w:eastAsia="宋体" w:cs="Times New Roman"/>
                      <w:sz w:val="18"/>
                      <w:szCs w:val="18"/>
                    </w:rPr>
                    <w:t>监控点</w:t>
                  </w:r>
                </w:p>
              </w:tc>
              <w:tc>
                <w:tcPr>
                  <w:tcW w:w="2018" w:type="dxa"/>
                  <w:tcBorders>
                    <w:tl2br w:val="nil"/>
                    <w:tr2bl w:val="nil"/>
                  </w:tcBorders>
                  <w:vAlign w:val="center"/>
                </w:tcPr>
                <w:p w14:paraId="39D5EFB9">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非甲烷总烃</w:t>
                  </w:r>
                </w:p>
                <w:p w14:paraId="70D53C3D">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（任意一次浓度值）</w:t>
                  </w:r>
                </w:p>
              </w:tc>
              <w:tc>
                <w:tcPr>
                  <w:tcW w:w="1498" w:type="dxa"/>
                  <w:tcBorders>
                    <w:tl2br w:val="nil"/>
                    <w:tr2bl w:val="nil"/>
                  </w:tcBorders>
                  <w:vAlign w:val="center"/>
                </w:tcPr>
                <w:p w14:paraId="1577B9EB">
                  <w:pPr>
                    <w:pStyle w:val="31"/>
                    <w:spacing w:before="147"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30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2CE80193">
                  <w:pPr>
                    <w:pStyle w:val="31"/>
                    <w:spacing w:before="152"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w w:val="100"/>
                      <w:sz w:val="18"/>
                      <w:szCs w:val="18"/>
                    </w:rPr>
                    <w:t>/</w:t>
                  </w:r>
                </w:p>
              </w:tc>
              <w:tc>
                <w:tcPr>
                  <w:tcW w:w="1621" w:type="dxa"/>
                  <w:tcBorders>
                    <w:tl2br w:val="nil"/>
                    <w:tr2bl w:val="nil"/>
                  </w:tcBorders>
                  <w:vAlign w:val="center"/>
                </w:tcPr>
                <w:p w14:paraId="6E72ED85">
                  <w:pPr>
                    <w:pStyle w:val="31"/>
                    <w:spacing w:before="152"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GB37822-2019</w:t>
                  </w:r>
                </w:p>
              </w:tc>
            </w:tr>
            <w:tr w14:paraId="205E42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1536" w:type="dxa"/>
                  <w:vMerge w:val="continue"/>
                  <w:tcBorders>
                    <w:tl2br w:val="nil"/>
                    <w:tr2bl w:val="nil"/>
                  </w:tcBorders>
                  <w:vAlign w:val="center"/>
                </w:tcPr>
                <w:p w14:paraId="50DEB539">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13EE7B8D">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非甲烷总烃</w:t>
                  </w:r>
                </w:p>
                <w:p w14:paraId="1E4B5DC8">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 xml:space="preserve">1h </w:t>
                  </w:r>
                  <w:r>
                    <w:rPr>
                      <w:rFonts w:hint="default" w:ascii="Times New Roman" w:hAnsi="Times New Roman" w:eastAsia="宋体" w:cs="Times New Roman"/>
                      <w:sz w:val="18"/>
                      <w:szCs w:val="18"/>
                    </w:rPr>
                    <w:t>平均浓度值）</w:t>
                  </w:r>
                </w:p>
              </w:tc>
              <w:tc>
                <w:tcPr>
                  <w:tcW w:w="1498" w:type="dxa"/>
                  <w:tcBorders>
                    <w:tl2br w:val="nil"/>
                    <w:tr2bl w:val="nil"/>
                  </w:tcBorders>
                  <w:vAlign w:val="center"/>
                </w:tcPr>
                <w:p w14:paraId="3E38B772">
                  <w:pPr>
                    <w:pStyle w:val="31"/>
                    <w:spacing w:before="147"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8.0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29D67991">
                  <w:pPr>
                    <w:pStyle w:val="31"/>
                    <w:spacing w:before="152"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w w:val="100"/>
                      <w:sz w:val="18"/>
                      <w:szCs w:val="18"/>
                    </w:rPr>
                    <w:t>/</w:t>
                  </w:r>
                </w:p>
              </w:tc>
              <w:tc>
                <w:tcPr>
                  <w:tcW w:w="1621" w:type="dxa"/>
                  <w:tcBorders>
                    <w:tl2br w:val="nil"/>
                    <w:tr2bl w:val="nil"/>
                  </w:tcBorders>
                  <w:vAlign w:val="center"/>
                </w:tcPr>
                <w:p w14:paraId="6AE8F242">
                  <w:pPr>
                    <w:pStyle w:val="31"/>
                    <w:spacing w:before="152"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DB35/1783-2018</w:t>
                  </w:r>
                </w:p>
              </w:tc>
            </w:tr>
            <w:tr w14:paraId="553E7B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exact"/>
              </w:trPr>
              <w:tc>
                <w:tcPr>
                  <w:tcW w:w="1536" w:type="dxa"/>
                  <w:vMerge w:val="restart"/>
                  <w:tcBorders>
                    <w:tl2br w:val="nil"/>
                    <w:tr2bl w:val="nil"/>
                  </w:tcBorders>
                  <w:vAlign w:val="center"/>
                </w:tcPr>
                <w:p w14:paraId="2EF89D28">
                  <w:pPr>
                    <w:pStyle w:val="31"/>
                    <w:spacing w:before="158" w:line="240" w:lineRule="auto"/>
                    <w:ind w:left="0" w:leftChars="0" w:right="159"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厂界无组织监点</w:t>
                  </w:r>
                </w:p>
              </w:tc>
              <w:tc>
                <w:tcPr>
                  <w:tcW w:w="2018" w:type="dxa"/>
                  <w:tcBorders>
                    <w:tl2br w:val="nil"/>
                    <w:tr2bl w:val="nil"/>
                  </w:tcBorders>
                  <w:vAlign w:val="center"/>
                </w:tcPr>
                <w:p w14:paraId="23AE7204">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颗粒物</w:t>
                  </w:r>
                </w:p>
              </w:tc>
              <w:tc>
                <w:tcPr>
                  <w:tcW w:w="1498" w:type="dxa"/>
                  <w:tcBorders>
                    <w:tl2br w:val="nil"/>
                    <w:tr2bl w:val="nil"/>
                  </w:tcBorders>
                  <w:vAlign w:val="center"/>
                </w:tcPr>
                <w:p w14:paraId="25E4F9DF">
                  <w:pPr>
                    <w:pStyle w:val="31"/>
                    <w:spacing w:before="44"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1.0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2EE00069">
                  <w:pPr>
                    <w:pStyle w:val="31"/>
                    <w:spacing w:before="48"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w w:val="100"/>
                      <w:sz w:val="18"/>
                      <w:szCs w:val="18"/>
                    </w:rPr>
                    <w:t>/</w:t>
                  </w:r>
                </w:p>
              </w:tc>
              <w:tc>
                <w:tcPr>
                  <w:tcW w:w="1621" w:type="dxa"/>
                  <w:tcBorders>
                    <w:tl2br w:val="nil"/>
                    <w:tr2bl w:val="nil"/>
                  </w:tcBorders>
                  <w:vAlign w:val="center"/>
                </w:tcPr>
                <w:p w14:paraId="50D1BE16">
                  <w:pPr>
                    <w:pStyle w:val="31"/>
                    <w:spacing w:before="48"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GB16297-1996</w:t>
                  </w:r>
                </w:p>
              </w:tc>
            </w:tr>
            <w:tr w14:paraId="4A51DD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exact"/>
              </w:trPr>
              <w:tc>
                <w:tcPr>
                  <w:tcW w:w="1536" w:type="dxa"/>
                  <w:vMerge w:val="continue"/>
                  <w:tcBorders>
                    <w:tl2br w:val="nil"/>
                    <w:tr2bl w:val="nil"/>
                  </w:tcBorders>
                  <w:vAlign w:val="center"/>
                </w:tcPr>
                <w:p w14:paraId="772125C2">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34AF6270">
                  <w:pPr>
                    <w:pStyle w:val="31"/>
                    <w:spacing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非甲烷总烃</w:t>
                  </w:r>
                </w:p>
              </w:tc>
              <w:tc>
                <w:tcPr>
                  <w:tcW w:w="1498" w:type="dxa"/>
                  <w:tcBorders>
                    <w:tl2br w:val="nil"/>
                    <w:tr2bl w:val="nil"/>
                  </w:tcBorders>
                  <w:vAlign w:val="center"/>
                </w:tcPr>
                <w:p w14:paraId="1E8532BD">
                  <w:pPr>
                    <w:pStyle w:val="31"/>
                    <w:spacing w:before="44"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cs="Times New Roman"/>
                      <w:sz w:val="18"/>
                      <w:szCs w:val="18"/>
                    </w:rPr>
                    <w:t>2.0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35F28BA0">
                  <w:pPr>
                    <w:pStyle w:val="31"/>
                    <w:spacing w:before="48"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w w:val="100"/>
                      <w:sz w:val="18"/>
                      <w:szCs w:val="18"/>
                    </w:rPr>
                    <w:t>/</w:t>
                  </w:r>
                </w:p>
              </w:tc>
              <w:tc>
                <w:tcPr>
                  <w:tcW w:w="1621" w:type="dxa"/>
                  <w:vMerge w:val="restart"/>
                  <w:tcBorders>
                    <w:tl2br w:val="nil"/>
                    <w:tr2bl w:val="nil"/>
                  </w:tcBorders>
                  <w:vAlign w:val="center"/>
                </w:tcPr>
                <w:p w14:paraId="385F50C9">
                  <w:pPr>
                    <w:pStyle w:val="31"/>
                    <w:spacing w:before="169"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DB35/1783-2018</w:t>
                  </w:r>
                </w:p>
              </w:tc>
            </w:tr>
            <w:tr w14:paraId="03B93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exact"/>
              </w:trPr>
              <w:tc>
                <w:tcPr>
                  <w:tcW w:w="1536" w:type="dxa"/>
                  <w:vMerge w:val="continue"/>
                  <w:tcBorders>
                    <w:tl2br w:val="nil"/>
                    <w:tr2bl w:val="nil"/>
                  </w:tcBorders>
                  <w:vAlign w:val="center"/>
                </w:tcPr>
                <w:p w14:paraId="0AC8EEBA">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1D1495EB">
                  <w:pPr>
                    <w:pStyle w:val="31"/>
                    <w:spacing w:line="240" w:lineRule="auto"/>
                    <w:ind w:left="0" w:leftChars="0" w:right="0" w:firstLine="0" w:firstLineChars="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甲苯</w:t>
                  </w:r>
                </w:p>
              </w:tc>
              <w:tc>
                <w:tcPr>
                  <w:tcW w:w="1498" w:type="dxa"/>
                  <w:tcBorders>
                    <w:tl2br w:val="nil"/>
                    <w:tr2bl w:val="nil"/>
                  </w:tcBorders>
                  <w:vAlign w:val="center"/>
                </w:tcPr>
                <w:p w14:paraId="2087D389">
                  <w:pPr>
                    <w:pStyle w:val="31"/>
                    <w:spacing w:before="44"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sz w:val="18"/>
                      <w:szCs w:val="18"/>
                    </w:rPr>
                    <w:t>0.</w:t>
                  </w:r>
                  <w:r>
                    <w:rPr>
                      <w:rFonts w:hint="eastAsia" w:cs="Times New Roman"/>
                      <w:sz w:val="18"/>
                      <w:szCs w:val="18"/>
                      <w:lang w:val="en-US" w:eastAsia="zh-CN"/>
                    </w:rPr>
                    <w:t>6</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7441DDBA">
                  <w:pPr>
                    <w:pStyle w:val="31"/>
                    <w:spacing w:before="48"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w w:val="100"/>
                      <w:sz w:val="18"/>
                      <w:szCs w:val="18"/>
                    </w:rPr>
                    <w:t>/</w:t>
                  </w:r>
                </w:p>
              </w:tc>
              <w:tc>
                <w:tcPr>
                  <w:tcW w:w="1621" w:type="dxa"/>
                  <w:vMerge w:val="continue"/>
                  <w:tcBorders>
                    <w:tl2br w:val="nil"/>
                    <w:tr2bl w:val="nil"/>
                  </w:tcBorders>
                  <w:vAlign w:val="center"/>
                </w:tcPr>
                <w:p w14:paraId="4FAAF66B">
                  <w:pPr>
                    <w:jc w:val="center"/>
                    <w:rPr>
                      <w:rFonts w:hint="default" w:ascii="Times New Roman" w:hAnsi="Times New Roman" w:cs="Times New Roman"/>
                      <w:sz w:val="18"/>
                      <w:szCs w:val="18"/>
                    </w:rPr>
                  </w:pPr>
                </w:p>
              </w:tc>
            </w:tr>
            <w:tr w14:paraId="39EE86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exact"/>
              </w:trPr>
              <w:tc>
                <w:tcPr>
                  <w:tcW w:w="1536" w:type="dxa"/>
                  <w:vMerge w:val="continue"/>
                  <w:tcBorders>
                    <w:tl2br w:val="nil"/>
                    <w:tr2bl w:val="nil"/>
                  </w:tcBorders>
                  <w:vAlign w:val="center"/>
                </w:tcPr>
                <w:p w14:paraId="1CE4C04A">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323F2AA7">
                  <w:pPr>
                    <w:pStyle w:val="31"/>
                    <w:spacing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二甲苯</w:t>
                  </w:r>
                </w:p>
              </w:tc>
              <w:tc>
                <w:tcPr>
                  <w:tcW w:w="1498" w:type="dxa"/>
                  <w:tcBorders>
                    <w:tl2br w:val="nil"/>
                    <w:tr2bl w:val="nil"/>
                  </w:tcBorders>
                  <w:vAlign w:val="center"/>
                </w:tcPr>
                <w:p w14:paraId="03A3BEB0">
                  <w:pPr>
                    <w:pStyle w:val="31"/>
                    <w:spacing w:before="44"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cs="Times New Roman"/>
                      <w:sz w:val="18"/>
                      <w:szCs w:val="18"/>
                    </w:rPr>
                    <w:t>0.2</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1649D261">
                  <w:pPr>
                    <w:pStyle w:val="31"/>
                    <w:spacing w:before="48" w:line="240" w:lineRule="auto"/>
                    <w:ind w:left="0" w:leftChars="0" w:right="0" w:firstLine="0" w:firstLineChars="0"/>
                    <w:jc w:val="center"/>
                    <w:rPr>
                      <w:rFonts w:hint="default" w:ascii="Times New Roman" w:hAnsi="Times New Roman" w:eastAsia="Times New Roman" w:cs="Times New Roman"/>
                      <w:sz w:val="18"/>
                      <w:szCs w:val="18"/>
                    </w:rPr>
                  </w:pPr>
                  <w:r>
                    <w:rPr>
                      <w:rFonts w:hint="default" w:ascii="Times New Roman" w:hAnsi="Times New Roman" w:cs="Times New Roman"/>
                      <w:w w:val="100"/>
                      <w:sz w:val="18"/>
                      <w:szCs w:val="18"/>
                    </w:rPr>
                    <w:t>/</w:t>
                  </w:r>
                </w:p>
              </w:tc>
              <w:tc>
                <w:tcPr>
                  <w:tcW w:w="1621" w:type="dxa"/>
                  <w:vMerge w:val="continue"/>
                  <w:tcBorders>
                    <w:tl2br w:val="nil"/>
                    <w:tr2bl w:val="nil"/>
                  </w:tcBorders>
                  <w:vAlign w:val="center"/>
                </w:tcPr>
                <w:p w14:paraId="508C7926">
                  <w:pPr>
                    <w:jc w:val="center"/>
                    <w:rPr>
                      <w:rFonts w:hint="default" w:ascii="Times New Roman" w:hAnsi="Times New Roman" w:cs="Times New Roman"/>
                      <w:sz w:val="18"/>
                      <w:szCs w:val="18"/>
                    </w:rPr>
                  </w:pPr>
                </w:p>
              </w:tc>
            </w:tr>
            <w:tr w14:paraId="022680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exact"/>
              </w:trPr>
              <w:tc>
                <w:tcPr>
                  <w:tcW w:w="1536" w:type="dxa"/>
                  <w:vMerge w:val="continue"/>
                  <w:tcBorders>
                    <w:tl2br w:val="nil"/>
                    <w:tr2bl w:val="nil"/>
                  </w:tcBorders>
                  <w:vAlign w:val="center"/>
                </w:tcPr>
                <w:p w14:paraId="73C065D5">
                  <w:pPr>
                    <w:spacing w:line="240" w:lineRule="auto"/>
                    <w:jc w:val="center"/>
                    <w:rPr>
                      <w:rFonts w:hint="default" w:ascii="Times New Roman" w:hAnsi="Times New Roman" w:cs="Times New Roman"/>
                      <w:sz w:val="18"/>
                      <w:szCs w:val="18"/>
                    </w:rPr>
                  </w:pPr>
                </w:p>
              </w:tc>
              <w:tc>
                <w:tcPr>
                  <w:tcW w:w="2018" w:type="dxa"/>
                  <w:tcBorders>
                    <w:tl2br w:val="nil"/>
                    <w:tr2bl w:val="nil"/>
                  </w:tcBorders>
                  <w:vAlign w:val="center"/>
                </w:tcPr>
                <w:p w14:paraId="6C4ADAD8">
                  <w:pPr>
                    <w:pStyle w:val="31"/>
                    <w:spacing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z w:val="18"/>
                      <w:szCs w:val="18"/>
                    </w:rPr>
                    <w:t>乙酸乙酯</w:t>
                  </w:r>
                </w:p>
              </w:tc>
              <w:tc>
                <w:tcPr>
                  <w:tcW w:w="1498" w:type="dxa"/>
                  <w:tcBorders>
                    <w:tl2br w:val="nil"/>
                    <w:tr2bl w:val="nil"/>
                  </w:tcBorders>
                  <w:vAlign w:val="center"/>
                </w:tcPr>
                <w:p w14:paraId="42F69594">
                  <w:pPr>
                    <w:pStyle w:val="31"/>
                    <w:spacing w:before="44" w:line="240" w:lineRule="auto"/>
                    <w:ind w:left="0" w:leftChars="0" w:right="0" w:rightChars="0" w:firstLine="0" w:firstLineChars="0"/>
                    <w:jc w:val="center"/>
                    <w:rPr>
                      <w:rFonts w:hint="default" w:ascii="Times New Roman" w:hAnsi="Times New Roman" w:eastAsia="Times New Roman" w:cs="Times New Roman"/>
                      <w:color w:val="auto"/>
                      <w:kern w:val="0"/>
                      <w:sz w:val="18"/>
                      <w:szCs w:val="18"/>
                      <w:lang w:val="en-US" w:eastAsia="zh-CN" w:bidi="ar-SA"/>
                    </w:rPr>
                  </w:pPr>
                  <w:r>
                    <w:rPr>
                      <w:rFonts w:hint="default" w:ascii="Times New Roman" w:hAnsi="Times New Roman" w:cs="Times New Roman"/>
                      <w:sz w:val="18"/>
                      <w:szCs w:val="18"/>
                    </w:rPr>
                    <w:t>1.0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mg/m</w:t>
                  </w:r>
                  <w:r>
                    <w:rPr>
                      <w:rFonts w:hint="eastAsia" w:ascii="Times New Roman" w:hAnsi="Times New Roman" w:cs="Times New Roman"/>
                      <w:sz w:val="18"/>
                      <w:szCs w:val="18"/>
                      <w:vertAlign w:val="superscript"/>
                      <w:lang w:val="en-US" w:eastAsia="zh-CN"/>
                    </w:rPr>
                    <w:t>3</w:t>
                  </w:r>
                </w:p>
              </w:tc>
              <w:tc>
                <w:tcPr>
                  <w:tcW w:w="1425" w:type="dxa"/>
                  <w:tcBorders>
                    <w:tl2br w:val="nil"/>
                    <w:tr2bl w:val="nil"/>
                  </w:tcBorders>
                  <w:vAlign w:val="center"/>
                </w:tcPr>
                <w:p w14:paraId="54DF3A05">
                  <w:pPr>
                    <w:pStyle w:val="31"/>
                    <w:spacing w:before="48" w:line="240" w:lineRule="auto"/>
                    <w:ind w:left="0" w:leftChars="0" w:right="0" w:firstLine="0" w:firstLineChars="0"/>
                    <w:jc w:val="center"/>
                    <w:rPr>
                      <w:rFonts w:hint="default" w:ascii="Times New Roman" w:hAnsi="Times New Roman" w:cs="Times New Roman"/>
                      <w:w w:val="100"/>
                      <w:sz w:val="18"/>
                      <w:szCs w:val="18"/>
                    </w:rPr>
                  </w:pPr>
                </w:p>
              </w:tc>
              <w:tc>
                <w:tcPr>
                  <w:tcW w:w="1621" w:type="dxa"/>
                  <w:vMerge w:val="continue"/>
                  <w:tcBorders>
                    <w:tl2br w:val="nil"/>
                    <w:tr2bl w:val="nil"/>
                  </w:tcBorders>
                  <w:vAlign w:val="center"/>
                </w:tcPr>
                <w:p w14:paraId="12F43166">
                  <w:pPr>
                    <w:jc w:val="center"/>
                    <w:rPr>
                      <w:rFonts w:hint="default" w:ascii="Times New Roman" w:hAnsi="Times New Roman" w:cs="Times New Roman"/>
                      <w:sz w:val="18"/>
                      <w:szCs w:val="18"/>
                    </w:rPr>
                  </w:pPr>
                </w:p>
              </w:tc>
            </w:tr>
            <w:tr w14:paraId="6E2003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41" w:hRule="exact"/>
              </w:trPr>
              <w:tc>
                <w:tcPr>
                  <w:tcW w:w="8098" w:type="dxa"/>
                  <w:gridSpan w:val="5"/>
                  <w:tcBorders>
                    <w:tl2br w:val="nil"/>
                    <w:tr2bl w:val="nil"/>
                  </w:tcBorders>
                  <w:vAlign w:val="center"/>
                </w:tcPr>
                <w:p w14:paraId="5A8FAE20">
                  <w:pPr>
                    <w:pStyle w:val="15"/>
                    <w:keepNext w:val="0"/>
                    <w:keepLines w:val="0"/>
                    <w:pageBreakBefore w:val="0"/>
                    <w:widowControl/>
                    <w:kinsoku/>
                    <w:wordWrap/>
                    <w:overflowPunct/>
                    <w:topLinePunct w:val="0"/>
                    <w:autoSpaceDE/>
                    <w:autoSpaceDN/>
                    <w:bidi w:val="0"/>
                    <w:adjustRightInd/>
                    <w:snapToGrid w:val="0"/>
                    <w:spacing w:before="157" w:beforeLines="50" w:line="360" w:lineRule="auto"/>
                    <w:ind w:left="0" w:leftChars="0" w:firstLine="180" w:firstLineChars="100"/>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w:t>
                  </w:r>
                  <w:r>
                    <w:rPr>
                      <w:rFonts w:hint="default" w:ascii="Times New Roman" w:hAnsi="Times New Roman" w:cs="Times New Roman"/>
                      <w:sz w:val="18"/>
                      <w:szCs w:val="18"/>
                      <w:lang w:val="en-US" w:eastAsia="zh-CN"/>
                    </w:rPr>
                    <w:t>排气筒高度应不低于15m，周围200m范围内有建筑时，还应高出周围200m范围内的建筑5m以上，本项目不能达到该要求，因此，颗粒物的排放速率应该严格50%执行</w:t>
                  </w:r>
                  <w:r>
                    <w:rPr>
                      <w:rFonts w:hint="eastAsia" w:ascii="Times New Roman" w:hAnsi="Times New Roman" w:cs="Times New Roman"/>
                      <w:sz w:val="18"/>
                      <w:szCs w:val="18"/>
                      <w:lang w:val="en-US" w:eastAsia="zh-CN"/>
                    </w:rPr>
                    <w:t>，即1.75kg/h</w:t>
                  </w:r>
                  <w:r>
                    <w:rPr>
                      <w:rFonts w:hint="default" w:ascii="Times New Roman" w:hAnsi="Times New Roman" w:cs="Times New Roman"/>
                      <w:sz w:val="18"/>
                      <w:szCs w:val="18"/>
                      <w:lang w:val="en-US" w:eastAsia="zh-CN"/>
                    </w:rPr>
                    <w:t>。</w:t>
                  </w:r>
                </w:p>
                <w:p w14:paraId="65E3DD8B">
                  <w:pPr>
                    <w:ind w:left="0" w:leftChars="0" w:firstLine="0" w:firstLineChars="0"/>
                    <w:jc w:val="left"/>
                    <w:rPr>
                      <w:rFonts w:hint="default" w:ascii="Times New Roman" w:hAnsi="Times New Roman" w:cs="Times New Roman"/>
                      <w:sz w:val="18"/>
                      <w:szCs w:val="18"/>
                    </w:rPr>
                  </w:pPr>
                </w:p>
              </w:tc>
            </w:tr>
          </w:tbl>
          <w:p w14:paraId="72D7C09D">
            <w:pPr>
              <w:widowControl w:val="0"/>
              <w:numPr>
                <w:ilvl w:val="0"/>
                <w:numId w:val="0"/>
              </w:numPr>
              <w:wordWrap/>
              <w:adjustRightInd/>
              <w:snapToGrid/>
              <w:spacing w:line="360" w:lineRule="auto"/>
              <w:ind w:firstLine="422" w:firstLineChars="200"/>
              <w:textAlignment w:val="auto"/>
              <w:rPr>
                <w:rFonts w:hint="eastAsia"/>
                <w:b/>
                <w:bCs/>
                <w:lang w:val="en-US" w:eastAsia="zh-CN"/>
              </w:rPr>
            </w:pPr>
            <w:r>
              <w:rPr>
                <w:rFonts w:hint="eastAsia"/>
                <w:b/>
                <w:bCs/>
                <w:lang w:val="en-US" w:eastAsia="zh-CN"/>
              </w:rPr>
              <w:t>（2）废水</w:t>
            </w:r>
          </w:p>
          <w:p w14:paraId="7F3FFDBB">
            <w:pPr>
              <w:spacing w:line="360" w:lineRule="auto"/>
              <w:rPr>
                <w:rFonts w:hint="default" w:eastAsia="宋体"/>
                <w:lang w:val="en-US" w:eastAsia="zh-CN"/>
              </w:rPr>
            </w:pPr>
            <w:r>
              <w:rPr>
                <w:rFonts w:hint="eastAsia"/>
                <w:lang w:val="en-US" w:eastAsia="zh-CN"/>
              </w:rPr>
              <w:t>项目主要外排污水为职工生活污水。生活污水依托租赁厂房化粪池处理后排入园区污水管网，纳入秀屿区港城污水处理厂进行处理，</w:t>
            </w:r>
            <w:r>
              <w:rPr>
                <w:rFonts w:hint="default"/>
              </w:rPr>
              <w:t>废水排放执行</w:t>
            </w:r>
            <w:r>
              <w:rPr>
                <w:rFonts w:hint="eastAsia"/>
                <w:lang w:val="en-US" w:eastAsia="zh-CN"/>
              </w:rPr>
              <w:t xml:space="preserve"> </w:t>
            </w:r>
            <w:r>
              <w:rPr>
                <w:rFonts w:hint="default"/>
              </w:rPr>
              <w:t>《污水综合排放标准》（GB8978-1996）表</w:t>
            </w:r>
            <w:r>
              <w:rPr>
                <w:rFonts w:hint="eastAsia"/>
                <w:lang w:val="en-US" w:eastAsia="zh-CN"/>
              </w:rPr>
              <w:t xml:space="preserve"> </w:t>
            </w:r>
            <w:r>
              <w:rPr>
                <w:rFonts w:hint="default"/>
              </w:rPr>
              <w:t>4</w:t>
            </w:r>
            <w:r>
              <w:rPr>
                <w:rFonts w:hint="eastAsia"/>
                <w:lang w:val="en-US" w:eastAsia="zh-CN"/>
              </w:rPr>
              <w:t xml:space="preserve"> </w:t>
            </w:r>
            <w:r>
              <w:rPr>
                <w:rFonts w:hint="default"/>
              </w:rPr>
              <w:t>中三级标准限值，其中氨氮、总磷、总氮</w:t>
            </w:r>
            <w:r>
              <w:rPr>
                <w:rFonts w:hint="eastAsia"/>
                <w:lang w:val="en-US" w:eastAsia="zh-CN"/>
              </w:rPr>
              <w:t>排放</w:t>
            </w:r>
            <w:r>
              <w:rPr>
                <w:rFonts w:hint="default"/>
              </w:rPr>
              <w:t>参照执行《污水排入城镇下水道水质标准》（GB/T31962-2015）</w:t>
            </w:r>
            <w:r>
              <w:rPr>
                <w:rFonts w:hint="eastAsia"/>
                <w:lang w:val="en-US" w:eastAsia="zh-CN"/>
              </w:rPr>
              <w:t xml:space="preserve">表 1 </w:t>
            </w:r>
            <w:r>
              <w:rPr>
                <w:rFonts w:hint="default"/>
              </w:rPr>
              <w:t>中B等级标准</w:t>
            </w:r>
            <w:r>
              <w:rPr>
                <w:rFonts w:hint="eastAsia"/>
                <w:lang w:eastAsia="zh-CN"/>
              </w:rPr>
              <w:t>，</w:t>
            </w:r>
            <w:r>
              <w:rPr>
                <w:rFonts w:hint="eastAsia"/>
                <w:lang w:val="en-US" w:eastAsia="zh-CN"/>
              </w:rPr>
              <w:t>标准祥见下表3-9。</w:t>
            </w:r>
          </w:p>
          <w:p w14:paraId="123E4035">
            <w:pPr>
              <w:spacing w:line="360" w:lineRule="auto"/>
              <w:jc w:val="center"/>
              <w:rPr>
                <w:rFonts w:hint="eastAsia"/>
                <w:b/>
                <w:bCs/>
                <w:lang w:val="en-US" w:eastAsia="zh-CN"/>
              </w:rPr>
            </w:pPr>
            <w:r>
              <w:rPr>
                <w:rFonts w:hint="eastAsia"/>
                <w:b/>
                <w:bCs/>
                <w:lang w:val="en-US" w:eastAsia="zh-CN"/>
              </w:rPr>
              <w:t>表3-9  项目废水排放执行标准一览表</w:t>
            </w:r>
          </w:p>
          <w:tbl>
            <w:tblPr>
              <w:tblStyle w:val="17"/>
              <w:tblW w:w="8070"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2"/>
              <w:gridCol w:w="1143"/>
              <w:gridCol w:w="1741"/>
              <w:gridCol w:w="4334"/>
            </w:tblGrid>
            <w:tr w14:paraId="0F0958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tcBorders>
                    <w:top w:val="single" w:color="auto" w:sz="12" w:space="0"/>
                    <w:left w:val="nil"/>
                    <w:bottom w:val="single" w:color="auto" w:sz="6" w:space="0"/>
                    <w:right w:val="single" w:color="auto" w:sz="6" w:space="0"/>
                  </w:tcBorders>
                  <w:vAlign w:val="center"/>
                </w:tcPr>
                <w:p w14:paraId="06FDCEF9">
                  <w:pPr>
                    <w:pStyle w:val="24"/>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序号</w:t>
                  </w:r>
                </w:p>
              </w:tc>
              <w:tc>
                <w:tcPr>
                  <w:tcW w:w="1143" w:type="dxa"/>
                  <w:tcBorders>
                    <w:top w:val="single" w:color="auto" w:sz="12" w:space="0"/>
                    <w:left w:val="single" w:color="auto" w:sz="6" w:space="0"/>
                    <w:bottom w:val="single" w:color="auto" w:sz="6" w:space="0"/>
                    <w:right w:val="single" w:color="auto" w:sz="6" w:space="0"/>
                  </w:tcBorders>
                  <w:vAlign w:val="center"/>
                </w:tcPr>
                <w:p w14:paraId="058BF423">
                  <w:pPr>
                    <w:pStyle w:val="24"/>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污染物</w:t>
                  </w:r>
                </w:p>
              </w:tc>
              <w:tc>
                <w:tcPr>
                  <w:tcW w:w="1741" w:type="dxa"/>
                  <w:tcBorders>
                    <w:top w:val="single" w:color="auto" w:sz="12" w:space="0"/>
                    <w:left w:val="single" w:color="auto" w:sz="6" w:space="0"/>
                    <w:bottom w:val="single" w:color="auto" w:sz="6" w:space="0"/>
                    <w:right w:val="single" w:color="auto" w:sz="6" w:space="0"/>
                  </w:tcBorders>
                  <w:vAlign w:val="center"/>
                </w:tcPr>
                <w:p w14:paraId="7B12867A">
                  <w:pPr>
                    <w:pStyle w:val="24"/>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排放标准限值</w:t>
                  </w:r>
                </w:p>
                <w:p w14:paraId="39AD322A">
                  <w:pPr>
                    <w:pStyle w:val="24"/>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（mg/L）</w:t>
                  </w:r>
                </w:p>
              </w:tc>
              <w:tc>
                <w:tcPr>
                  <w:tcW w:w="4334" w:type="dxa"/>
                  <w:tcBorders>
                    <w:top w:val="single" w:color="auto" w:sz="12" w:space="0"/>
                    <w:left w:val="single" w:color="auto" w:sz="6" w:space="0"/>
                    <w:bottom w:val="single" w:color="auto" w:sz="6" w:space="0"/>
                    <w:right w:val="nil"/>
                  </w:tcBorders>
                  <w:vAlign w:val="center"/>
                </w:tcPr>
                <w:p w14:paraId="78571B58">
                  <w:pPr>
                    <w:pStyle w:val="24"/>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执行标准</w:t>
                  </w:r>
                </w:p>
              </w:tc>
            </w:tr>
            <w:tr w14:paraId="646594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restart"/>
                  <w:tcBorders>
                    <w:top w:val="single" w:color="auto" w:sz="6" w:space="0"/>
                    <w:left w:val="nil"/>
                    <w:right w:val="single" w:color="auto" w:sz="6" w:space="0"/>
                  </w:tcBorders>
                  <w:vAlign w:val="center"/>
                </w:tcPr>
                <w:p w14:paraId="31DF3AF0">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生活污水</w:t>
                  </w:r>
                </w:p>
              </w:tc>
              <w:tc>
                <w:tcPr>
                  <w:tcW w:w="1143" w:type="dxa"/>
                  <w:tcBorders>
                    <w:top w:val="single" w:color="auto" w:sz="6" w:space="0"/>
                    <w:left w:val="single" w:color="auto" w:sz="6" w:space="0"/>
                    <w:bottom w:val="single" w:color="auto" w:sz="6" w:space="0"/>
                    <w:right w:val="single" w:color="auto" w:sz="6" w:space="0"/>
                  </w:tcBorders>
                  <w:vAlign w:val="center"/>
                </w:tcPr>
                <w:p w14:paraId="2CC62DE6">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pH</w:t>
                  </w:r>
                </w:p>
              </w:tc>
              <w:tc>
                <w:tcPr>
                  <w:tcW w:w="1741" w:type="dxa"/>
                  <w:tcBorders>
                    <w:top w:val="single" w:color="auto" w:sz="6" w:space="0"/>
                    <w:left w:val="single" w:color="auto" w:sz="6" w:space="0"/>
                    <w:bottom w:val="single" w:color="auto" w:sz="6" w:space="0"/>
                    <w:right w:val="single" w:color="auto" w:sz="6" w:space="0"/>
                  </w:tcBorders>
                  <w:vAlign w:val="center"/>
                </w:tcPr>
                <w:p w14:paraId="3D7690EF">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6～9（</w:t>
                  </w:r>
                  <w:r>
                    <w:rPr>
                      <w:rFonts w:hint="default" w:ascii="Times New Roman" w:hAnsi="Times New Roman" w:cs="Times New Roman"/>
                      <w:sz w:val="18"/>
                      <w:szCs w:val="18"/>
                      <w:lang w:val="en-US" w:eastAsia="zh-CN"/>
                    </w:rPr>
                    <w:t>无量纲</w:t>
                  </w:r>
                  <w:r>
                    <w:rPr>
                      <w:rFonts w:hint="default" w:ascii="Times New Roman" w:hAnsi="Times New Roman" w:cs="Times New Roman"/>
                      <w:sz w:val="18"/>
                      <w:szCs w:val="18"/>
                      <w:lang w:val="zh-CN"/>
                    </w:rPr>
                    <w:t>）</w:t>
                  </w:r>
                </w:p>
              </w:tc>
              <w:tc>
                <w:tcPr>
                  <w:tcW w:w="4334" w:type="dxa"/>
                  <w:vMerge w:val="restart"/>
                  <w:tcBorders>
                    <w:top w:val="single" w:color="auto" w:sz="6" w:space="0"/>
                    <w:left w:val="single" w:color="auto" w:sz="6" w:space="0"/>
                    <w:bottom w:val="single" w:color="auto" w:sz="6" w:space="0"/>
                    <w:right w:val="nil"/>
                  </w:tcBorders>
                  <w:vAlign w:val="center"/>
                </w:tcPr>
                <w:p w14:paraId="45C1EF3F">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《污水综合排放标准》</w:t>
                  </w:r>
                </w:p>
                <w:p w14:paraId="1944F65E">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(GB8978-1996)表4三级标准</w:t>
                  </w:r>
                </w:p>
              </w:tc>
            </w:tr>
            <w:tr w14:paraId="14C3EB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continue"/>
                  <w:tcBorders>
                    <w:left w:val="nil"/>
                    <w:right w:val="single" w:color="auto" w:sz="6" w:space="0"/>
                  </w:tcBorders>
                  <w:vAlign w:val="center"/>
                </w:tcPr>
                <w:p w14:paraId="7E2CAC78">
                  <w:pPr>
                    <w:pStyle w:val="24"/>
                    <w:rPr>
                      <w:rFonts w:hint="default" w:ascii="Times New Roman" w:hAnsi="Times New Roman" w:cs="Times New Roman"/>
                      <w:sz w:val="18"/>
                      <w:szCs w:val="18"/>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367CB6DF">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zh-CN"/>
                    </w:rPr>
                    <w:t>COD</w:t>
                  </w:r>
                  <w:r>
                    <w:rPr>
                      <w:rFonts w:hint="default" w:ascii="Times New Roman" w:hAnsi="Times New Roman" w:cs="Times New Roman"/>
                      <w:sz w:val="18"/>
                      <w:szCs w:val="18"/>
                      <w:vertAlign w:val="subscript"/>
                      <w:lang w:val="en-US" w:eastAsia="zh-CN"/>
                    </w:rPr>
                    <w:t>Cr</w:t>
                  </w:r>
                </w:p>
              </w:tc>
              <w:tc>
                <w:tcPr>
                  <w:tcW w:w="1741" w:type="dxa"/>
                  <w:tcBorders>
                    <w:top w:val="single" w:color="auto" w:sz="6" w:space="0"/>
                    <w:left w:val="single" w:color="auto" w:sz="6" w:space="0"/>
                    <w:bottom w:val="single" w:color="auto" w:sz="6" w:space="0"/>
                    <w:right w:val="single" w:color="auto" w:sz="6" w:space="0"/>
                  </w:tcBorders>
                  <w:vAlign w:val="center"/>
                </w:tcPr>
                <w:p w14:paraId="0AD24C09">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500</w:t>
                  </w:r>
                </w:p>
              </w:tc>
              <w:tc>
                <w:tcPr>
                  <w:tcW w:w="4334" w:type="dxa"/>
                  <w:vMerge w:val="continue"/>
                  <w:tcBorders>
                    <w:top w:val="single" w:color="auto" w:sz="6" w:space="0"/>
                    <w:left w:val="single" w:color="auto" w:sz="6" w:space="0"/>
                    <w:bottom w:val="single" w:color="auto" w:sz="6" w:space="0"/>
                    <w:right w:val="nil"/>
                  </w:tcBorders>
                  <w:vAlign w:val="center"/>
                </w:tcPr>
                <w:p w14:paraId="6046E005">
                  <w:pPr>
                    <w:pStyle w:val="24"/>
                    <w:rPr>
                      <w:rFonts w:hint="default" w:ascii="Times New Roman" w:hAnsi="Times New Roman" w:cs="Times New Roman"/>
                      <w:sz w:val="18"/>
                      <w:szCs w:val="18"/>
                      <w:lang w:val="zh-CN"/>
                    </w:rPr>
                  </w:pPr>
                </w:p>
              </w:tc>
            </w:tr>
            <w:tr w14:paraId="381FF3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continue"/>
                  <w:tcBorders>
                    <w:left w:val="nil"/>
                    <w:right w:val="single" w:color="auto" w:sz="6" w:space="0"/>
                  </w:tcBorders>
                  <w:vAlign w:val="center"/>
                </w:tcPr>
                <w:p w14:paraId="2BCDC096">
                  <w:pPr>
                    <w:pStyle w:val="24"/>
                    <w:rPr>
                      <w:rFonts w:hint="default" w:ascii="Times New Roman" w:hAnsi="Times New Roman" w:cs="Times New Roman"/>
                      <w:sz w:val="18"/>
                      <w:szCs w:val="18"/>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5D3B8CD7">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BOD</w:t>
                  </w:r>
                  <w:r>
                    <w:rPr>
                      <w:rFonts w:hint="default" w:ascii="Times New Roman" w:hAnsi="Times New Roman" w:cs="Times New Roman"/>
                      <w:sz w:val="18"/>
                      <w:szCs w:val="18"/>
                      <w:vertAlign w:val="subscript"/>
                      <w:lang w:val="zh-CN"/>
                    </w:rPr>
                    <w:t>5</w:t>
                  </w:r>
                </w:p>
              </w:tc>
              <w:tc>
                <w:tcPr>
                  <w:tcW w:w="1741" w:type="dxa"/>
                  <w:tcBorders>
                    <w:top w:val="single" w:color="auto" w:sz="6" w:space="0"/>
                    <w:left w:val="single" w:color="auto" w:sz="6" w:space="0"/>
                    <w:bottom w:val="single" w:color="auto" w:sz="6" w:space="0"/>
                    <w:right w:val="single" w:color="auto" w:sz="6" w:space="0"/>
                  </w:tcBorders>
                  <w:vAlign w:val="center"/>
                </w:tcPr>
                <w:p w14:paraId="5B1E9D22">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300</w:t>
                  </w:r>
                </w:p>
              </w:tc>
              <w:tc>
                <w:tcPr>
                  <w:tcW w:w="4334" w:type="dxa"/>
                  <w:vMerge w:val="continue"/>
                  <w:tcBorders>
                    <w:top w:val="single" w:color="auto" w:sz="6" w:space="0"/>
                    <w:left w:val="single" w:color="auto" w:sz="6" w:space="0"/>
                    <w:bottom w:val="single" w:color="auto" w:sz="6" w:space="0"/>
                    <w:right w:val="nil"/>
                  </w:tcBorders>
                  <w:vAlign w:val="center"/>
                </w:tcPr>
                <w:p w14:paraId="53390F04">
                  <w:pPr>
                    <w:pStyle w:val="24"/>
                    <w:rPr>
                      <w:rFonts w:hint="default" w:ascii="Times New Roman" w:hAnsi="Times New Roman" w:cs="Times New Roman"/>
                      <w:sz w:val="18"/>
                      <w:szCs w:val="18"/>
                      <w:lang w:val="zh-CN"/>
                    </w:rPr>
                  </w:pPr>
                </w:p>
              </w:tc>
            </w:tr>
            <w:tr w14:paraId="2B844B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continue"/>
                  <w:tcBorders>
                    <w:left w:val="nil"/>
                    <w:right w:val="single" w:color="auto" w:sz="6" w:space="0"/>
                  </w:tcBorders>
                  <w:vAlign w:val="center"/>
                </w:tcPr>
                <w:p w14:paraId="05C813B2">
                  <w:pPr>
                    <w:pStyle w:val="24"/>
                    <w:rPr>
                      <w:rFonts w:hint="default" w:ascii="Times New Roman" w:hAnsi="Times New Roman" w:cs="Times New Roman"/>
                      <w:sz w:val="18"/>
                      <w:szCs w:val="18"/>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2D07E68D">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SS</w:t>
                  </w:r>
                </w:p>
              </w:tc>
              <w:tc>
                <w:tcPr>
                  <w:tcW w:w="1741" w:type="dxa"/>
                  <w:tcBorders>
                    <w:top w:val="single" w:color="auto" w:sz="6" w:space="0"/>
                    <w:left w:val="single" w:color="auto" w:sz="6" w:space="0"/>
                    <w:bottom w:val="single" w:color="auto" w:sz="6" w:space="0"/>
                    <w:right w:val="single" w:color="auto" w:sz="6" w:space="0"/>
                  </w:tcBorders>
                  <w:vAlign w:val="center"/>
                </w:tcPr>
                <w:p w14:paraId="6E3926F9">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400</w:t>
                  </w:r>
                </w:p>
              </w:tc>
              <w:tc>
                <w:tcPr>
                  <w:tcW w:w="4334" w:type="dxa"/>
                  <w:vMerge w:val="continue"/>
                  <w:tcBorders>
                    <w:top w:val="single" w:color="auto" w:sz="6" w:space="0"/>
                    <w:left w:val="single" w:color="auto" w:sz="6" w:space="0"/>
                    <w:bottom w:val="single" w:color="auto" w:sz="6" w:space="0"/>
                    <w:right w:val="nil"/>
                  </w:tcBorders>
                  <w:vAlign w:val="center"/>
                </w:tcPr>
                <w:p w14:paraId="56CE0858">
                  <w:pPr>
                    <w:pStyle w:val="24"/>
                    <w:rPr>
                      <w:rFonts w:hint="default" w:ascii="Times New Roman" w:hAnsi="Times New Roman" w:cs="Times New Roman"/>
                      <w:sz w:val="18"/>
                      <w:szCs w:val="18"/>
                      <w:lang w:val="zh-CN"/>
                    </w:rPr>
                  </w:pPr>
                </w:p>
              </w:tc>
            </w:tr>
            <w:tr w14:paraId="0D7728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continue"/>
                  <w:tcBorders>
                    <w:left w:val="nil"/>
                    <w:right w:val="single" w:color="auto" w:sz="6" w:space="0"/>
                  </w:tcBorders>
                  <w:vAlign w:val="center"/>
                </w:tcPr>
                <w:p w14:paraId="38E3D207">
                  <w:pPr>
                    <w:pStyle w:val="24"/>
                    <w:rPr>
                      <w:rFonts w:hint="default" w:ascii="Times New Roman" w:hAnsi="Times New Roman" w:cs="Times New Roman"/>
                      <w:sz w:val="18"/>
                      <w:szCs w:val="18"/>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794A0EB9">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氨氮</w:t>
                  </w:r>
                </w:p>
              </w:tc>
              <w:tc>
                <w:tcPr>
                  <w:tcW w:w="1741" w:type="dxa"/>
                  <w:tcBorders>
                    <w:top w:val="single" w:color="auto" w:sz="6" w:space="0"/>
                    <w:left w:val="single" w:color="auto" w:sz="6" w:space="0"/>
                    <w:bottom w:val="single" w:color="auto" w:sz="6" w:space="0"/>
                    <w:right w:val="single" w:color="auto" w:sz="6" w:space="0"/>
                  </w:tcBorders>
                  <w:vAlign w:val="center"/>
                </w:tcPr>
                <w:p w14:paraId="7A90D4BB">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45</w:t>
                  </w:r>
                </w:p>
              </w:tc>
              <w:tc>
                <w:tcPr>
                  <w:tcW w:w="4334" w:type="dxa"/>
                  <w:vMerge w:val="restart"/>
                  <w:tcBorders>
                    <w:top w:val="single" w:color="auto" w:sz="6" w:space="0"/>
                    <w:left w:val="single" w:color="auto" w:sz="6" w:space="0"/>
                    <w:right w:val="nil"/>
                  </w:tcBorders>
                  <w:vAlign w:val="center"/>
                </w:tcPr>
                <w:p w14:paraId="6CDF4C05">
                  <w:pPr>
                    <w:pStyle w:val="24"/>
                    <w:rPr>
                      <w:rFonts w:hint="default" w:ascii="Times New Roman" w:hAnsi="Times New Roman" w:cs="Times New Roman"/>
                      <w:sz w:val="18"/>
                      <w:szCs w:val="18"/>
                      <w:lang w:val="zh-CN"/>
                    </w:rPr>
                  </w:pPr>
                  <w:r>
                    <w:rPr>
                      <w:rFonts w:hint="default" w:ascii="Times New Roman" w:hAnsi="Times New Roman" w:cs="Times New Roman"/>
                      <w:sz w:val="18"/>
                      <w:szCs w:val="18"/>
                      <w:lang w:val="zh-CN"/>
                    </w:rPr>
                    <w:t>《污水排入城镇下水道水质标准》（GB/T31962-2015）</w:t>
                  </w:r>
                </w:p>
              </w:tc>
            </w:tr>
            <w:tr w14:paraId="067F20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continue"/>
                  <w:tcBorders>
                    <w:left w:val="nil"/>
                    <w:right w:val="single" w:color="auto" w:sz="6" w:space="0"/>
                  </w:tcBorders>
                  <w:vAlign w:val="center"/>
                </w:tcPr>
                <w:p w14:paraId="1F68FE09">
                  <w:pPr>
                    <w:pStyle w:val="24"/>
                    <w:rPr>
                      <w:rFonts w:hint="default" w:ascii="Times New Roman" w:hAnsi="Times New Roman" w:cs="Times New Roman"/>
                      <w:sz w:val="18"/>
                      <w:szCs w:val="18"/>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68235469">
                  <w:pPr>
                    <w:pStyle w:val="24"/>
                    <w:rPr>
                      <w:rFonts w:hint="default" w:ascii="Times New Roman" w:hAnsi="Times New Roman" w:cs="Times New Roman"/>
                      <w:sz w:val="18"/>
                      <w:szCs w:val="18"/>
                      <w:lang w:val="zh-CN" w:eastAsia="zh-CN"/>
                    </w:rPr>
                  </w:pPr>
                  <w:r>
                    <w:rPr>
                      <w:rFonts w:hint="default" w:ascii="Times New Roman" w:hAnsi="Times New Roman" w:cs="Times New Roman"/>
                      <w:sz w:val="18"/>
                      <w:szCs w:val="18"/>
                      <w:lang w:val="en-US" w:eastAsia="zh-CN"/>
                    </w:rPr>
                    <w:t>TN</w:t>
                  </w:r>
                </w:p>
              </w:tc>
              <w:tc>
                <w:tcPr>
                  <w:tcW w:w="1741" w:type="dxa"/>
                  <w:tcBorders>
                    <w:top w:val="single" w:color="auto" w:sz="6" w:space="0"/>
                    <w:left w:val="single" w:color="auto" w:sz="6" w:space="0"/>
                    <w:bottom w:val="single" w:color="auto" w:sz="6" w:space="0"/>
                    <w:right w:val="single" w:color="auto" w:sz="6" w:space="0"/>
                  </w:tcBorders>
                  <w:vAlign w:val="center"/>
                </w:tcPr>
                <w:p w14:paraId="1ECF3F3B">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70</w:t>
                  </w:r>
                </w:p>
              </w:tc>
              <w:tc>
                <w:tcPr>
                  <w:tcW w:w="4334" w:type="dxa"/>
                  <w:vMerge w:val="continue"/>
                  <w:tcBorders>
                    <w:left w:val="single" w:color="auto" w:sz="6" w:space="0"/>
                    <w:right w:val="nil"/>
                  </w:tcBorders>
                  <w:vAlign w:val="center"/>
                </w:tcPr>
                <w:p w14:paraId="1A227C46">
                  <w:pPr>
                    <w:pStyle w:val="24"/>
                    <w:rPr>
                      <w:rFonts w:hint="default" w:ascii="Times New Roman" w:hAnsi="Times New Roman" w:cs="Times New Roman"/>
                      <w:sz w:val="18"/>
                      <w:szCs w:val="18"/>
                      <w:lang w:val="zh-CN" w:eastAsia="zh-CN"/>
                    </w:rPr>
                  </w:pPr>
                </w:p>
              </w:tc>
            </w:tr>
            <w:tr w14:paraId="1763C7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52" w:type="dxa"/>
                  <w:vMerge w:val="continue"/>
                  <w:tcBorders>
                    <w:left w:val="nil"/>
                    <w:bottom w:val="single" w:color="auto" w:sz="12" w:space="0"/>
                    <w:right w:val="single" w:color="auto" w:sz="6" w:space="0"/>
                  </w:tcBorders>
                  <w:vAlign w:val="center"/>
                </w:tcPr>
                <w:p w14:paraId="02090BCA">
                  <w:pPr>
                    <w:pStyle w:val="24"/>
                    <w:rPr>
                      <w:rFonts w:hint="default" w:ascii="Times New Roman" w:hAnsi="Times New Roman" w:cs="Times New Roman"/>
                      <w:sz w:val="18"/>
                      <w:szCs w:val="18"/>
                      <w:lang w:val="zh-CN"/>
                    </w:rPr>
                  </w:pPr>
                </w:p>
              </w:tc>
              <w:tc>
                <w:tcPr>
                  <w:tcW w:w="1143" w:type="dxa"/>
                  <w:tcBorders>
                    <w:top w:val="single" w:color="auto" w:sz="6" w:space="0"/>
                    <w:left w:val="single" w:color="auto" w:sz="6" w:space="0"/>
                    <w:bottom w:val="single" w:color="auto" w:sz="12" w:space="0"/>
                    <w:right w:val="single" w:color="auto" w:sz="6" w:space="0"/>
                  </w:tcBorders>
                  <w:vAlign w:val="center"/>
                </w:tcPr>
                <w:p w14:paraId="0B39EA56">
                  <w:pPr>
                    <w:pStyle w:val="24"/>
                    <w:rPr>
                      <w:rFonts w:hint="default" w:ascii="Times New Roman" w:hAnsi="Times New Roman" w:cs="Times New Roman"/>
                      <w:sz w:val="18"/>
                      <w:szCs w:val="18"/>
                      <w:lang w:val="zh-CN" w:eastAsia="zh-CN"/>
                    </w:rPr>
                  </w:pPr>
                  <w:r>
                    <w:rPr>
                      <w:rFonts w:hint="default" w:ascii="Times New Roman" w:hAnsi="Times New Roman" w:cs="Times New Roman"/>
                      <w:sz w:val="18"/>
                      <w:szCs w:val="18"/>
                      <w:lang w:val="en-US" w:eastAsia="zh-CN"/>
                    </w:rPr>
                    <w:t>TP</w:t>
                  </w:r>
                </w:p>
              </w:tc>
              <w:tc>
                <w:tcPr>
                  <w:tcW w:w="1741" w:type="dxa"/>
                  <w:tcBorders>
                    <w:top w:val="single" w:color="auto" w:sz="6" w:space="0"/>
                    <w:left w:val="single" w:color="auto" w:sz="6" w:space="0"/>
                    <w:bottom w:val="single" w:color="auto" w:sz="12" w:space="0"/>
                    <w:right w:val="single" w:color="auto" w:sz="6" w:space="0"/>
                  </w:tcBorders>
                  <w:vAlign w:val="center"/>
                </w:tcPr>
                <w:p w14:paraId="1E40EF8F">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8</w:t>
                  </w:r>
                </w:p>
              </w:tc>
              <w:tc>
                <w:tcPr>
                  <w:tcW w:w="4334" w:type="dxa"/>
                  <w:vMerge w:val="continue"/>
                  <w:tcBorders>
                    <w:left w:val="single" w:color="auto" w:sz="6" w:space="0"/>
                    <w:bottom w:val="single" w:color="auto" w:sz="12" w:space="0"/>
                    <w:right w:val="nil"/>
                  </w:tcBorders>
                  <w:vAlign w:val="center"/>
                </w:tcPr>
                <w:p w14:paraId="0067CED6">
                  <w:pPr>
                    <w:pStyle w:val="24"/>
                    <w:rPr>
                      <w:rFonts w:hint="default" w:ascii="Times New Roman" w:hAnsi="Times New Roman" w:cs="Times New Roman"/>
                      <w:sz w:val="18"/>
                      <w:szCs w:val="18"/>
                      <w:lang w:val="zh-CN" w:eastAsia="zh-CN"/>
                    </w:rPr>
                  </w:pPr>
                </w:p>
              </w:tc>
            </w:tr>
          </w:tbl>
          <w:p w14:paraId="338CA602">
            <w:pPr>
              <w:spacing w:line="360" w:lineRule="auto"/>
              <w:rPr>
                <w:rFonts w:hint="eastAsia"/>
                <w:b/>
                <w:bCs/>
                <w:lang w:val="en-US" w:eastAsia="zh-CN"/>
              </w:rPr>
            </w:pPr>
            <w:r>
              <w:rPr>
                <w:rFonts w:hint="eastAsia"/>
                <w:b/>
                <w:bCs/>
                <w:lang w:val="en-US" w:eastAsia="zh-CN"/>
              </w:rPr>
              <w:t>（3）噪声</w:t>
            </w:r>
          </w:p>
          <w:p w14:paraId="189334C6">
            <w:pPr>
              <w:spacing w:line="360" w:lineRule="auto"/>
              <w:rPr>
                <w:rFonts w:hint="default"/>
                <w:lang w:val="en-US" w:eastAsia="zh-CN"/>
              </w:rPr>
            </w:pPr>
            <w:r>
              <w:rPr>
                <w:rFonts w:hint="eastAsia"/>
                <w:lang w:val="en-US" w:eastAsia="zh-CN"/>
              </w:rPr>
              <w:t>项目运营期间噪声主要为生产设备的机械噪声，噪声执行《工业企业厂界环境噪声排放标准》（GB12348-2008）3类标准，标准详情见下表3-10。</w:t>
            </w:r>
          </w:p>
          <w:p w14:paraId="4E7CDDB4">
            <w:pPr>
              <w:widowControl w:val="0"/>
              <w:wordWrap/>
              <w:adjustRightInd/>
              <w:snapToGrid/>
              <w:spacing w:line="360" w:lineRule="auto"/>
              <w:ind w:firstLine="0" w:firstLineChars="0"/>
              <w:jc w:val="center"/>
              <w:textAlignment w:val="auto"/>
              <w:rPr>
                <w:rFonts w:hint="default"/>
                <w:b/>
                <w:bCs/>
                <w:lang w:val="en-US" w:eastAsia="zh-CN"/>
              </w:rPr>
            </w:pPr>
            <w:r>
              <w:rPr>
                <w:rFonts w:hint="eastAsia"/>
                <w:b/>
                <w:bCs/>
                <w:lang w:val="en-US" w:eastAsia="zh-CN"/>
              </w:rPr>
              <w:t>表3-10  项目噪声排放标准 单位 dB（A）</w:t>
            </w:r>
          </w:p>
          <w:tbl>
            <w:tblPr>
              <w:tblStyle w:val="17"/>
              <w:tblW w:w="8292" w:type="dxa"/>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5"/>
              <w:gridCol w:w="1080"/>
              <w:gridCol w:w="1255"/>
              <w:gridCol w:w="5162"/>
            </w:tblGrid>
            <w:tr w14:paraId="1AEE082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7" w:hRule="atLeast"/>
                <w:tblHeader/>
                <w:jc w:val="center"/>
              </w:trPr>
              <w:tc>
                <w:tcPr>
                  <w:tcW w:w="795" w:type="dxa"/>
                  <w:tcBorders>
                    <w:tl2br w:val="nil"/>
                    <w:tr2bl w:val="nil"/>
                  </w:tcBorders>
                  <w:vAlign w:val="center"/>
                </w:tcPr>
                <w:p w14:paraId="62581CAA">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1080" w:type="dxa"/>
                  <w:tcBorders>
                    <w:tl2br w:val="nil"/>
                    <w:tr2bl w:val="nil"/>
                  </w:tcBorders>
                  <w:vAlign w:val="center"/>
                </w:tcPr>
                <w:p w14:paraId="68221313">
                  <w:pPr>
                    <w:pStyle w:val="24"/>
                    <w:rPr>
                      <w:rFonts w:hint="default" w:ascii="Times New Roman" w:hAnsi="Times New Roman" w:cs="Times New Roman"/>
                      <w:b/>
                      <w:bCs/>
                      <w:sz w:val="18"/>
                      <w:szCs w:val="18"/>
                    </w:rPr>
                  </w:pPr>
                  <w:r>
                    <w:rPr>
                      <w:rFonts w:hint="default" w:ascii="Times New Roman" w:hAnsi="Times New Roman" w:cs="Times New Roman"/>
                      <w:b/>
                      <w:bCs/>
                      <w:sz w:val="18"/>
                      <w:szCs w:val="18"/>
                      <w:lang w:val="en-US" w:eastAsia="zh-CN"/>
                    </w:rPr>
                    <w:t>昼</w:t>
                  </w:r>
                  <w:r>
                    <w:rPr>
                      <w:rFonts w:hint="default" w:ascii="Times New Roman" w:hAnsi="Times New Roman" w:cs="Times New Roman"/>
                      <w:b/>
                      <w:bCs/>
                      <w:sz w:val="18"/>
                      <w:szCs w:val="18"/>
                    </w:rPr>
                    <w:t>间（dB）</w:t>
                  </w:r>
                </w:p>
              </w:tc>
              <w:tc>
                <w:tcPr>
                  <w:tcW w:w="1255" w:type="dxa"/>
                  <w:tcBorders>
                    <w:tl2br w:val="nil"/>
                    <w:tr2bl w:val="nil"/>
                  </w:tcBorders>
                  <w:vAlign w:val="center"/>
                </w:tcPr>
                <w:p w14:paraId="2EA4107E">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夜间（dB）</w:t>
                  </w:r>
                </w:p>
              </w:tc>
              <w:tc>
                <w:tcPr>
                  <w:tcW w:w="5162" w:type="dxa"/>
                  <w:tcBorders>
                    <w:tl2br w:val="nil"/>
                    <w:tr2bl w:val="nil"/>
                  </w:tcBorders>
                  <w:vAlign w:val="center"/>
                </w:tcPr>
                <w:p w14:paraId="5F159C11">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执行标准</w:t>
                  </w:r>
                </w:p>
              </w:tc>
            </w:tr>
            <w:tr w14:paraId="3901380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795" w:type="dxa"/>
                  <w:tcBorders>
                    <w:tl2br w:val="nil"/>
                    <w:tr2bl w:val="nil"/>
                  </w:tcBorders>
                  <w:vAlign w:val="center"/>
                </w:tcPr>
                <w:p w14:paraId="18B228C6">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3类</w:t>
                  </w:r>
                </w:p>
              </w:tc>
              <w:tc>
                <w:tcPr>
                  <w:tcW w:w="1080" w:type="dxa"/>
                  <w:tcBorders>
                    <w:tl2br w:val="nil"/>
                    <w:tr2bl w:val="nil"/>
                  </w:tcBorders>
                  <w:vAlign w:val="center"/>
                </w:tcPr>
                <w:p w14:paraId="0E57CB68">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w:t>
                  </w:r>
                  <w:r>
                    <w:rPr>
                      <w:rFonts w:hint="eastAsia" w:ascii="Times New Roman" w:hAnsi="Times New Roman" w:cs="Times New Roman"/>
                      <w:sz w:val="18"/>
                      <w:szCs w:val="18"/>
                      <w:lang w:val="en-US" w:eastAsia="zh-CN"/>
                    </w:rPr>
                    <w:t>5</w:t>
                  </w:r>
                </w:p>
              </w:tc>
              <w:tc>
                <w:tcPr>
                  <w:tcW w:w="1255" w:type="dxa"/>
                  <w:tcBorders>
                    <w:tl2br w:val="nil"/>
                    <w:tr2bl w:val="nil"/>
                  </w:tcBorders>
                  <w:vAlign w:val="center"/>
                </w:tcPr>
                <w:p w14:paraId="0BB76664">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w:t>
                  </w:r>
                  <w:r>
                    <w:rPr>
                      <w:rFonts w:hint="eastAsia" w:ascii="Times New Roman" w:hAnsi="Times New Roman" w:cs="Times New Roman"/>
                      <w:sz w:val="18"/>
                      <w:szCs w:val="18"/>
                      <w:lang w:val="en-US" w:eastAsia="zh-CN"/>
                    </w:rPr>
                    <w:t>5</w:t>
                  </w:r>
                </w:p>
              </w:tc>
              <w:tc>
                <w:tcPr>
                  <w:tcW w:w="5162" w:type="dxa"/>
                  <w:tcBorders>
                    <w:tl2br w:val="nil"/>
                    <w:tr2bl w:val="nil"/>
                  </w:tcBorders>
                  <w:vAlign w:val="center"/>
                </w:tcPr>
                <w:p w14:paraId="74F1F1A7">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rPr>
                    <w:t>《工业企业厂界环境噪声排放标准》（GB12348-2008）</w:t>
                  </w:r>
                </w:p>
              </w:tc>
            </w:tr>
          </w:tbl>
          <w:p w14:paraId="1D1F671E">
            <w:pPr>
              <w:spacing w:line="360" w:lineRule="auto"/>
              <w:rPr>
                <w:rFonts w:hint="eastAsia"/>
                <w:b/>
                <w:bCs/>
                <w:lang w:val="en-US" w:eastAsia="zh-CN"/>
              </w:rPr>
            </w:pPr>
            <w:r>
              <w:rPr>
                <w:rFonts w:hint="eastAsia"/>
                <w:b/>
                <w:bCs/>
                <w:lang w:val="en-US" w:eastAsia="zh-CN"/>
              </w:rPr>
              <w:t>（4）固废</w:t>
            </w:r>
          </w:p>
          <w:p w14:paraId="1E95AA36">
            <w:pPr>
              <w:spacing w:line="360" w:lineRule="auto"/>
              <w:rPr>
                <w:rFonts w:hint="default"/>
                <w:lang w:val="en-US" w:eastAsia="zh-CN"/>
              </w:rPr>
            </w:pPr>
            <w:r>
              <w:rPr>
                <w:rFonts w:hint="eastAsia" w:ascii="Times New Roman" w:hAnsi="Times New Roman" w:eastAsia="宋体" w:cs="Times New Roman"/>
                <w:color w:val="auto"/>
                <w:sz w:val="21"/>
                <w:szCs w:val="21"/>
              </w:rPr>
              <w:t>生产产生的一般废物执行 GB18599-20</w:t>
            </w:r>
            <w:r>
              <w:rPr>
                <w:rFonts w:hint="eastAsia" w:cs="Times New Roman"/>
                <w:color w:val="auto"/>
                <w:sz w:val="21"/>
                <w:szCs w:val="21"/>
                <w:lang w:val="en-US" w:eastAsia="zh-CN"/>
              </w:rPr>
              <w:t>20</w:t>
            </w:r>
            <w:r>
              <w:rPr>
                <w:rFonts w:hint="eastAsia" w:ascii="Times New Roman" w:hAnsi="Times New Roman" w:eastAsia="宋体" w:cs="Times New Roman"/>
                <w:color w:val="auto"/>
                <w:sz w:val="21"/>
                <w:szCs w:val="21"/>
              </w:rPr>
              <w:t xml:space="preserve"> 《一般工业固体废物贮存、处置场污染控制标准》及其修改单的要求</w:t>
            </w:r>
            <w:r>
              <w:rPr>
                <w:rFonts w:hint="eastAsia" w:ascii="Times New Roman" w:hAnsi="Times New Roman" w:eastAsia="宋体" w:cs="Times New Roman"/>
                <w:color w:val="auto"/>
                <w:lang w:val="en-US" w:eastAsia="zh-CN"/>
              </w:rPr>
              <w:t>采用库房、包装工具（罐、桶、包装袋等）贮存一般工业固体废物的其贮存过程应满足相应防渗漏、防雨淋、防扬尘等环境保护要求</w:t>
            </w:r>
            <w:r>
              <w:rPr>
                <w:color w:val="auto"/>
                <w:szCs w:val="21"/>
              </w:rPr>
              <w:t>。</w:t>
            </w:r>
            <w:r>
              <w:rPr>
                <w:rFonts w:hint="eastAsia" w:ascii="Times New Roman" w:hAnsi="Times New Roman" w:eastAsia="宋体" w:cs="Times New Roman"/>
                <w:color w:val="auto"/>
                <w:sz w:val="21"/>
                <w:szCs w:val="21"/>
              </w:rPr>
              <w:t>危险废物贮存执行 GB18597-20</w:t>
            </w:r>
            <w:r>
              <w:rPr>
                <w:rFonts w:hint="eastAsia" w:cs="Times New Roman"/>
                <w:color w:val="auto"/>
                <w:sz w:val="21"/>
                <w:szCs w:val="21"/>
                <w:lang w:val="en-US" w:eastAsia="zh-CN"/>
              </w:rPr>
              <w:t>23</w:t>
            </w:r>
            <w:r>
              <w:rPr>
                <w:rFonts w:hint="eastAsia" w:ascii="Times New Roman" w:hAnsi="Times New Roman" w:eastAsia="宋体" w:cs="Times New Roman"/>
                <w:color w:val="auto"/>
                <w:sz w:val="21"/>
                <w:szCs w:val="21"/>
              </w:rPr>
              <w:t xml:space="preserve"> 《危险废物贮存污染控制标准》</w:t>
            </w:r>
            <w:r>
              <w:rPr>
                <w:rFonts w:hint="eastAsia" w:ascii="Times New Roman" w:hAnsi="Times New Roman" w:eastAsia="宋体" w:cs="Times New Roman"/>
                <w:color w:val="auto"/>
                <w:sz w:val="21"/>
                <w:szCs w:val="21"/>
                <w:lang w:val="en-US" w:eastAsia="zh-CN"/>
              </w:rPr>
              <w:t>。</w:t>
            </w:r>
          </w:p>
        </w:tc>
      </w:tr>
      <w:tr w14:paraId="24F7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7" w:hRule="atLeast"/>
        </w:trPr>
        <w:tc>
          <w:tcPr>
            <w:tcW w:w="403" w:type="dxa"/>
            <w:vAlign w:val="center"/>
          </w:tcPr>
          <w:p w14:paraId="7E9FDB3A">
            <w:pPr>
              <w:ind w:left="0" w:leftChars="0" w:firstLine="0" w:firstLineChars="0"/>
              <w:jc w:val="center"/>
              <w:rPr>
                <w:rFonts w:hint="default" w:ascii="Times New Roman" w:hAnsi="Times New Roman" w:cs="Times New Roman"/>
                <w:lang w:val="en-US" w:eastAsia="zh-CN"/>
              </w:rPr>
            </w:pPr>
            <w:r>
              <w:rPr>
                <w:rFonts w:hint="eastAsia" w:cs="Times New Roman"/>
                <w:lang w:val="en-US" w:eastAsia="zh-CN"/>
              </w:rPr>
              <w:t>总量控制</w:t>
            </w:r>
          </w:p>
        </w:tc>
        <w:tc>
          <w:tcPr>
            <w:tcW w:w="8508" w:type="dxa"/>
            <w:vAlign w:val="top"/>
          </w:tcPr>
          <w:p w14:paraId="73208612">
            <w:pPr>
              <w:spacing w:line="36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污染物排放总量参照执行《福建省环保局关于做好建设项目环保审批污染物总量控制有关工作的通知》（闽环保监【2007】52 号文）和</w:t>
            </w:r>
            <w:r>
              <w:rPr>
                <w:rFonts w:hint="default" w:ascii="Times New Roman" w:hAnsi="Times New Roman" w:eastAsia="宋体" w:cs="Times New Roman"/>
                <w:color w:val="auto"/>
                <w:highlight w:val="none"/>
                <w:lang w:eastAsia="zh-CN"/>
              </w:rPr>
              <w:t>《关于规划环境影响评价加强空间管制、总量管控和环境准入的指导意见》的有关污染物总量控制要求，结合本项目的污染物排放特征</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生活污水</w:t>
            </w:r>
            <w:r>
              <w:rPr>
                <w:rFonts w:hint="default" w:ascii="Times New Roman" w:hAnsi="Times New Roman" w:cs="Times New Roman"/>
                <w:bCs/>
                <w:color w:val="000000"/>
                <w:highlight w:val="none"/>
              </w:rPr>
              <w:t>中的COD</w:t>
            </w:r>
            <w:r>
              <w:rPr>
                <w:rFonts w:hint="default" w:ascii="Times New Roman" w:hAnsi="Times New Roman" w:cs="Times New Roman"/>
                <w:bCs/>
                <w:color w:val="000000"/>
                <w:highlight w:val="none"/>
                <w:vertAlign w:val="subscript"/>
              </w:rPr>
              <w:t>Cr</w:t>
            </w:r>
            <w:r>
              <w:rPr>
                <w:rFonts w:hint="default" w:ascii="Times New Roman" w:hAnsi="Times New Roman" w:cs="Times New Roman"/>
                <w:bCs/>
                <w:color w:val="000000"/>
                <w:highlight w:val="none"/>
              </w:rPr>
              <w:t>、NH</w:t>
            </w:r>
            <w:r>
              <w:rPr>
                <w:rFonts w:hint="default" w:ascii="Times New Roman" w:hAnsi="Times New Roman" w:cs="Times New Roman"/>
                <w:bCs/>
                <w:color w:val="000000"/>
                <w:highlight w:val="none"/>
                <w:vertAlign w:val="subscript"/>
              </w:rPr>
              <w:t>3</w:t>
            </w:r>
            <w:r>
              <w:rPr>
                <w:rFonts w:hint="default" w:ascii="Times New Roman" w:hAnsi="Times New Roman" w:cs="Times New Roman"/>
                <w:bCs/>
                <w:color w:val="000000"/>
                <w:highlight w:val="none"/>
              </w:rPr>
              <w:t>-N不计入总量控制，直接由</w:t>
            </w:r>
            <w:r>
              <w:rPr>
                <w:rFonts w:hint="eastAsia" w:ascii="Times New Roman" w:hAnsi="Times New Roman" w:cs="Times New Roman"/>
                <w:bCs/>
                <w:color w:val="000000"/>
                <w:highlight w:val="none"/>
                <w:lang w:eastAsia="zh-CN"/>
              </w:rPr>
              <w:t>秀屿区港城污水处理厂</w:t>
            </w:r>
            <w:r>
              <w:rPr>
                <w:rFonts w:hint="default" w:ascii="Times New Roman" w:hAnsi="Times New Roman" w:cs="Times New Roman"/>
                <w:bCs/>
                <w:color w:val="000000"/>
                <w:highlight w:val="none"/>
              </w:rPr>
              <w:t>调剂</w:t>
            </w:r>
            <w:r>
              <w:rPr>
                <w:rFonts w:hint="eastAsia" w:ascii="Times New Roman" w:hAnsi="Times New Roman" w:cs="Times New Roman"/>
                <w:bCs/>
                <w:color w:val="000000"/>
                <w:highlight w:val="none"/>
                <w:lang w:eastAsia="zh-CN"/>
              </w:rPr>
              <w:t>，</w:t>
            </w:r>
            <w:r>
              <w:rPr>
                <w:rFonts w:hint="default" w:ascii="Times New Roman" w:hAnsi="Times New Roman" w:cs="Times New Roman"/>
                <w:color w:val="auto"/>
                <w:sz w:val="21"/>
                <w:szCs w:val="21"/>
                <w:highlight w:val="none"/>
              </w:rPr>
              <w:t>总量控制指标确定为</w:t>
            </w:r>
            <w:r>
              <w:rPr>
                <w:rFonts w:hint="eastAsia" w:ascii="Times New Roman" w:hAnsi="Times New Roman" w:cs="Times New Roman"/>
                <w:color w:val="auto"/>
                <w:sz w:val="21"/>
                <w:szCs w:val="21"/>
                <w:highlight w:val="none"/>
                <w:lang w:val="en-US" w:eastAsia="zh-CN"/>
              </w:rPr>
              <w:t>VOC</w:t>
            </w:r>
            <w:r>
              <w:rPr>
                <w:rFonts w:hint="eastAsia" w:ascii="Times New Roman" w:hAnsi="Times New Roman" w:cs="Times New Roman"/>
                <w:color w:val="auto"/>
                <w:sz w:val="21"/>
                <w:szCs w:val="21"/>
                <w:highlight w:val="none"/>
                <w:vertAlign w:val="subscript"/>
                <w:lang w:val="en-US" w:eastAsia="zh-CN"/>
              </w:rPr>
              <w:t>S</w:t>
            </w:r>
            <w:r>
              <w:rPr>
                <w:rFonts w:hint="default" w:ascii="Times New Roman" w:hAnsi="Times New Roman" w:cs="Times New Roman"/>
                <w:color w:val="auto"/>
                <w:sz w:val="21"/>
                <w:szCs w:val="21"/>
                <w:highlight w:val="none"/>
              </w:rPr>
              <w:t>。考虑本项目为迁建项目，且未增加产能、未增加原辅材料使用量，</w:t>
            </w:r>
            <w:r>
              <w:rPr>
                <w:rFonts w:hint="eastAsia" w:cs="Times New Roman"/>
                <w:color w:val="auto"/>
                <w:sz w:val="21"/>
                <w:szCs w:val="21"/>
                <w:highlight w:val="none"/>
                <w:lang w:val="en-US" w:eastAsia="zh-CN"/>
              </w:rPr>
              <w:t>VOCs的处理措施有UV光解变更为活性炭吸附</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无需新增调剂 VOCs 总量控制指标</w:t>
            </w:r>
          </w:p>
          <w:p w14:paraId="7A637D6D">
            <w:pPr>
              <w:spacing w:line="360" w:lineRule="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本项目污染物排放总量控制指标核算见下表</w:t>
            </w:r>
            <w:r>
              <w:rPr>
                <w:rFonts w:hint="eastAsia" w:ascii="Times New Roman" w:hAnsi="Times New Roman" w:cs="Times New Roman"/>
                <w:color w:val="auto"/>
                <w:sz w:val="21"/>
                <w:szCs w:val="21"/>
                <w:highlight w:val="none"/>
                <w:lang w:eastAsia="zh-CN"/>
              </w:rPr>
              <w:t>。</w:t>
            </w:r>
          </w:p>
          <w:p w14:paraId="0977B5B5">
            <w:pPr>
              <w:pStyle w:val="2"/>
              <w:widowControl/>
              <w:wordWrap/>
              <w:adjustRightInd/>
              <w:snapToGrid/>
              <w:spacing w:line="360" w:lineRule="auto"/>
              <w:jc w:val="center"/>
              <w:textAlignment w:val="auto"/>
              <w:rPr>
                <w:rFonts w:hint="default"/>
                <w:b/>
                <w:bCs/>
                <w:highlight w:val="none"/>
                <w:lang w:val="en-US" w:eastAsia="zh-CN"/>
              </w:rPr>
            </w:pPr>
            <w:r>
              <w:rPr>
                <w:rFonts w:hint="eastAsia" w:ascii="Times New Roman" w:hAnsi="Times New Roman" w:cs="Times New Roman"/>
                <w:b/>
                <w:bCs/>
                <w:color w:val="auto"/>
                <w:sz w:val="21"/>
                <w:szCs w:val="21"/>
                <w:highlight w:val="none"/>
                <w:lang w:val="en-US" w:eastAsia="zh-CN"/>
              </w:rPr>
              <w:t>表3-11  VOCs总量控制表</w:t>
            </w:r>
          </w:p>
          <w:tbl>
            <w:tblPr>
              <w:tblStyle w:val="17"/>
              <w:tblW w:w="82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908"/>
              <w:gridCol w:w="1896"/>
              <w:gridCol w:w="1561"/>
              <w:gridCol w:w="1660"/>
            </w:tblGrid>
            <w:tr w14:paraId="71BCD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264" w:type="dxa"/>
                  <w:vMerge w:val="restart"/>
                  <w:tcBorders>
                    <w:tl2br w:val="nil"/>
                    <w:tr2bl w:val="nil"/>
                  </w:tcBorders>
                  <w:vAlign w:val="center"/>
                </w:tcPr>
                <w:p w14:paraId="0A38272B">
                  <w:pPr>
                    <w:pStyle w:val="24"/>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污染物</w:t>
                  </w:r>
                </w:p>
              </w:tc>
              <w:tc>
                <w:tcPr>
                  <w:tcW w:w="3804" w:type="dxa"/>
                  <w:gridSpan w:val="2"/>
                  <w:tcBorders>
                    <w:tl2br w:val="nil"/>
                    <w:tr2bl w:val="nil"/>
                  </w:tcBorders>
                  <w:vAlign w:val="center"/>
                </w:tcPr>
                <w:p w14:paraId="164B8632">
                  <w:pPr>
                    <w:pStyle w:val="24"/>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排放量</w:t>
                  </w:r>
                </w:p>
              </w:tc>
              <w:tc>
                <w:tcPr>
                  <w:tcW w:w="1561" w:type="dxa"/>
                  <w:vMerge w:val="restart"/>
                  <w:tcBorders>
                    <w:tl2br w:val="nil"/>
                    <w:tr2bl w:val="nil"/>
                  </w:tcBorders>
                  <w:vAlign w:val="center"/>
                </w:tcPr>
                <w:p w14:paraId="3B452E4B">
                  <w:pPr>
                    <w:pStyle w:val="24"/>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全厂排放量（t/a）</w:t>
                  </w:r>
                </w:p>
              </w:tc>
              <w:tc>
                <w:tcPr>
                  <w:tcW w:w="1660" w:type="dxa"/>
                  <w:vMerge w:val="restart"/>
                  <w:tcBorders>
                    <w:tl2br w:val="nil"/>
                    <w:tr2bl w:val="nil"/>
                  </w:tcBorders>
                  <w:vAlign w:val="center"/>
                </w:tcPr>
                <w:p w14:paraId="541F509B">
                  <w:pPr>
                    <w:pStyle w:val="24"/>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总量控制（t/a）</w:t>
                  </w:r>
                </w:p>
              </w:tc>
            </w:tr>
            <w:tr w14:paraId="3899C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64" w:type="dxa"/>
                  <w:vMerge w:val="continue"/>
                  <w:tcBorders>
                    <w:tl2br w:val="nil"/>
                    <w:tr2bl w:val="nil"/>
                  </w:tcBorders>
                  <w:vAlign w:val="center"/>
                </w:tcPr>
                <w:p w14:paraId="7E809204">
                  <w:pPr>
                    <w:pStyle w:val="24"/>
                    <w:rPr>
                      <w:rFonts w:hint="default" w:ascii="Times New Roman" w:hAnsi="Times New Roman" w:eastAsia="宋体" w:cs="Times New Roman"/>
                      <w:b/>
                      <w:bCs/>
                      <w:color w:val="auto"/>
                      <w:sz w:val="18"/>
                      <w:szCs w:val="18"/>
                      <w:highlight w:val="none"/>
                      <w:lang w:val="en-US" w:eastAsia="zh-CN"/>
                    </w:rPr>
                  </w:pPr>
                </w:p>
              </w:tc>
              <w:tc>
                <w:tcPr>
                  <w:tcW w:w="1908" w:type="dxa"/>
                  <w:tcBorders>
                    <w:tl2br w:val="nil"/>
                    <w:tr2bl w:val="nil"/>
                  </w:tcBorders>
                  <w:vAlign w:val="center"/>
                </w:tcPr>
                <w:p w14:paraId="36EFFB49">
                  <w:pPr>
                    <w:pStyle w:val="24"/>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有组织排放量（t/a）</w:t>
                  </w:r>
                </w:p>
              </w:tc>
              <w:tc>
                <w:tcPr>
                  <w:tcW w:w="1896" w:type="dxa"/>
                  <w:tcBorders>
                    <w:tl2br w:val="nil"/>
                    <w:tr2bl w:val="nil"/>
                  </w:tcBorders>
                  <w:vAlign w:val="center"/>
                </w:tcPr>
                <w:p w14:paraId="5435A20C">
                  <w:pPr>
                    <w:pStyle w:val="24"/>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无组织排放量（t/a）</w:t>
                  </w:r>
                </w:p>
              </w:tc>
              <w:tc>
                <w:tcPr>
                  <w:tcW w:w="1561" w:type="dxa"/>
                  <w:vMerge w:val="continue"/>
                  <w:tcBorders>
                    <w:tl2br w:val="nil"/>
                    <w:tr2bl w:val="nil"/>
                  </w:tcBorders>
                  <w:vAlign w:val="center"/>
                </w:tcPr>
                <w:p w14:paraId="2F61D522">
                  <w:pPr>
                    <w:pStyle w:val="24"/>
                    <w:rPr>
                      <w:rFonts w:hint="default" w:ascii="Times New Roman" w:hAnsi="Times New Roman" w:eastAsia="宋体" w:cs="Times New Roman"/>
                      <w:b/>
                      <w:bCs/>
                      <w:color w:val="auto"/>
                      <w:sz w:val="18"/>
                      <w:szCs w:val="18"/>
                      <w:highlight w:val="none"/>
                      <w:lang w:val="en-US" w:eastAsia="zh-CN"/>
                    </w:rPr>
                  </w:pPr>
                </w:p>
              </w:tc>
              <w:tc>
                <w:tcPr>
                  <w:tcW w:w="1660" w:type="dxa"/>
                  <w:vMerge w:val="continue"/>
                  <w:tcBorders>
                    <w:tl2br w:val="nil"/>
                    <w:tr2bl w:val="nil"/>
                  </w:tcBorders>
                  <w:vAlign w:val="center"/>
                </w:tcPr>
                <w:p w14:paraId="50F3C00D">
                  <w:pPr>
                    <w:pStyle w:val="24"/>
                    <w:rPr>
                      <w:rFonts w:hint="default" w:ascii="Times New Roman" w:hAnsi="Times New Roman" w:eastAsia="宋体" w:cs="Times New Roman"/>
                      <w:b/>
                      <w:bCs/>
                      <w:color w:val="auto"/>
                      <w:sz w:val="18"/>
                      <w:szCs w:val="18"/>
                      <w:highlight w:val="none"/>
                      <w:lang w:val="en-US" w:eastAsia="zh-CN"/>
                    </w:rPr>
                  </w:pPr>
                </w:p>
              </w:tc>
            </w:tr>
            <w:tr w14:paraId="67547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264" w:type="dxa"/>
                  <w:tcBorders>
                    <w:tl2br w:val="nil"/>
                    <w:tr2bl w:val="nil"/>
                  </w:tcBorders>
                  <w:vAlign w:val="center"/>
                </w:tcPr>
                <w:p w14:paraId="0C05508B">
                  <w:pPr>
                    <w:pStyle w:val="24"/>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VOCs</w:t>
                  </w:r>
                </w:p>
              </w:tc>
              <w:tc>
                <w:tcPr>
                  <w:tcW w:w="1908" w:type="dxa"/>
                  <w:tcBorders>
                    <w:tl2br w:val="nil"/>
                    <w:tr2bl w:val="nil"/>
                  </w:tcBorders>
                  <w:vAlign w:val="center"/>
                </w:tcPr>
                <w:p w14:paraId="47478A31">
                  <w:pPr>
                    <w:ind w:left="0" w:leftChars="0" w:firstLine="0" w:firstLineChars="0"/>
                    <w:jc w:val="center"/>
                    <w:rPr>
                      <w:rFonts w:hint="default"/>
                      <w:sz w:val="18"/>
                      <w:szCs w:val="18"/>
                      <w:lang w:val="en-US" w:eastAsia="zh-CN"/>
                    </w:rPr>
                  </w:pPr>
                  <w:r>
                    <w:rPr>
                      <w:rFonts w:hint="default"/>
                      <w:sz w:val="18"/>
                      <w:szCs w:val="18"/>
                      <w:lang w:val="en-US" w:eastAsia="zh-CN"/>
                    </w:rPr>
                    <w:t>0.9947</w:t>
                  </w:r>
                </w:p>
              </w:tc>
              <w:tc>
                <w:tcPr>
                  <w:tcW w:w="1896" w:type="dxa"/>
                  <w:tcBorders>
                    <w:tl2br w:val="nil"/>
                    <w:tr2bl w:val="nil"/>
                  </w:tcBorders>
                  <w:vAlign w:val="center"/>
                </w:tcPr>
                <w:p w14:paraId="0D94010F">
                  <w:pPr>
                    <w:ind w:left="0" w:leftChars="0" w:firstLine="0" w:firstLineChars="0"/>
                    <w:jc w:val="center"/>
                    <w:rPr>
                      <w:rFonts w:hint="default"/>
                      <w:sz w:val="18"/>
                      <w:szCs w:val="18"/>
                      <w:lang w:val="en-US" w:eastAsia="zh-CN"/>
                    </w:rPr>
                  </w:pPr>
                  <w:r>
                    <w:rPr>
                      <w:rFonts w:hint="default"/>
                      <w:sz w:val="18"/>
                      <w:szCs w:val="18"/>
                      <w:lang w:val="en-US" w:eastAsia="zh-CN"/>
                    </w:rPr>
                    <w:t>0.2618</w:t>
                  </w:r>
                </w:p>
              </w:tc>
              <w:tc>
                <w:tcPr>
                  <w:tcW w:w="1561" w:type="dxa"/>
                  <w:tcBorders>
                    <w:tl2br w:val="nil"/>
                    <w:tr2bl w:val="nil"/>
                  </w:tcBorders>
                  <w:vAlign w:val="center"/>
                </w:tcPr>
                <w:p w14:paraId="5AFE4355">
                  <w:pPr>
                    <w:ind w:left="0" w:leftChars="0" w:firstLine="0" w:firstLineChars="0"/>
                    <w:jc w:val="center"/>
                    <w:rPr>
                      <w:rFonts w:hint="default"/>
                      <w:sz w:val="18"/>
                      <w:szCs w:val="18"/>
                      <w:lang w:val="en-US" w:eastAsia="zh-CN"/>
                    </w:rPr>
                  </w:pPr>
                  <w:r>
                    <w:rPr>
                      <w:rFonts w:hint="default"/>
                      <w:sz w:val="18"/>
                      <w:szCs w:val="18"/>
                      <w:lang w:val="en-US" w:eastAsia="zh-CN"/>
                    </w:rPr>
                    <w:t>1.2565</w:t>
                  </w:r>
                </w:p>
              </w:tc>
              <w:tc>
                <w:tcPr>
                  <w:tcW w:w="1660" w:type="dxa"/>
                  <w:tcBorders>
                    <w:tl2br w:val="nil"/>
                    <w:tr2bl w:val="nil"/>
                  </w:tcBorders>
                  <w:vAlign w:val="center"/>
                </w:tcPr>
                <w:p w14:paraId="5A5D7705">
                  <w:pPr>
                    <w:pStyle w:val="24"/>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1.2565</w:t>
                  </w:r>
                </w:p>
              </w:tc>
            </w:tr>
          </w:tbl>
          <w:p w14:paraId="0770AC39">
            <w:pPr>
              <w:widowControl w:val="0"/>
              <w:wordWrap/>
              <w:adjustRightInd/>
              <w:snapToGrid/>
              <w:spacing w:line="360" w:lineRule="auto"/>
              <w:ind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表3-12  项目生活污水排放总量一览表</w:t>
            </w:r>
          </w:p>
          <w:tbl>
            <w:tblPr>
              <w:tblStyle w:val="17"/>
              <w:tblW w:w="82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884"/>
              <w:gridCol w:w="2089"/>
              <w:gridCol w:w="1954"/>
              <w:gridCol w:w="2136"/>
            </w:tblGrid>
            <w:tr w14:paraId="17754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0" w:type="dxa"/>
                  <w:gridSpan w:val="2"/>
                  <w:vAlign w:val="center"/>
                </w:tcPr>
                <w:p w14:paraId="1324C5A4">
                  <w:pPr>
                    <w:pStyle w:val="2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项目</w:t>
                  </w:r>
                </w:p>
              </w:tc>
              <w:tc>
                <w:tcPr>
                  <w:tcW w:w="2089" w:type="dxa"/>
                  <w:vAlign w:val="center"/>
                </w:tcPr>
                <w:p w14:paraId="1BFF7859">
                  <w:pPr>
                    <w:pStyle w:val="2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达标排放浓度（mg/L）</w:t>
                  </w:r>
                </w:p>
              </w:tc>
              <w:tc>
                <w:tcPr>
                  <w:tcW w:w="1954" w:type="dxa"/>
                  <w:vAlign w:val="center"/>
                </w:tcPr>
                <w:p w14:paraId="17590A24">
                  <w:pPr>
                    <w:pStyle w:val="24"/>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排放量（t/a）</w:t>
                  </w:r>
                </w:p>
              </w:tc>
              <w:tc>
                <w:tcPr>
                  <w:tcW w:w="2136" w:type="dxa"/>
                  <w:vAlign w:val="center"/>
                </w:tcPr>
                <w:p w14:paraId="01B33F9D">
                  <w:pPr>
                    <w:pStyle w:val="2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总量控制指标（t/a）</w:t>
                  </w:r>
                </w:p>
              </w:tc>
            </w:tr>
            <w:tr w14:paraId="0BE76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226" w:type="dxa"/>
                  <w:vMerge w:val="restart"/>
                  <w:vAlign w:val="center"/>
                </w:tcPr>
                <w:p w14:paraId="03E62DBC">
                  <w:pPr>
                    <w:pStyle w:val="24"/>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生活污水（</w:t>
                  </w:r>
                  <w:r>
                    <w:rPr>
                      <w:rFonts w:hint="eastAsia" w:ascii="Times New Roman" w:hAnsi="Times New Roman" w:cs="Times New Roman"/>
                      <w:color w:val="auto"/>
                      <w:sz w:val="18"/>
                      <w:szCs w:val="18"/>
                      <w:highlight w:val="none"/>
                      <w:lang w:val="en-US" w:eastAsia="zh-CN"/>
                    </w:rPr>
                    <w:t>1440</w:t>
                  </w:r>
                  <w:r>
                    <w:rPr>
                      <w:rFonts w:hint="default" w:ascii="Times New Roman" w:hAnsi="Times New Roman" w:cs="Times New Roman"/>
                      <w:color w:val="auto"/>
                      <w:sz w:val="18"/>
                      <w:szCs w:val="18"/>
                      <w:highlight w:val="none"/>
                      <w:lang w:val="en-US" w:eastAsia="zh-CN"/>
                    </w:rPr>
                    <w:t>t/a</w:t>
                  </w:r>
                  <w:r>
                    <w:rPr>
                      <w:rFonts w:hint="default" w:ascii="Times New Roman" w:hAnsi="Times New Roman" w:cs="Times New Roman"/>
                      <w:color w:val="auto"/>
                      <w:sz w:val="18"/>
                      <w:szCs w:val="18"/>
                      <w:highlight w:val="none"/>
                      <w:lang w:eastAsia="zh-CN"/>
                    </w:rPr>
                    <w:t>）</w:t>
                  </w:r>
                </w:p>
              </w:tc>
              <w:tc>
                <w:tcPr>
                  <w:tcW w:w="884" w:type="dxa"/>
                  <w:vAlign w:val="center"/>
                </w:tcPr>
                <w:p w14:paraId="72FA2B9D">
                  <w:pPr>
                    <w:pStyle w:val="24"/>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COD</w:t>
                  </w:r>
                  <w:r>
                    <w:rPr>
                      <w:rFonts w:hint="eastAsia" w:ascii="Times New Roman" w:hAnsi="Times New Roman" w:cs="Times New Roman"/>
                      <w:color w:val="auto"/>
                      <w:sz w:val="18"/>
                      <w:szCs w:val="18"/>
                      <w:highlight w:val="none"/>
                      <w:vertAlign w:val="subscript"/>
                      <w:lang w:val="en-US" w:eastAsia="zh-CN"/>
                    </w:rPr>
                    <w:t>Cr</w:t>
                  </w:r>
                </w:p>
              </w:tc>
              <w:tc>
                <w:tcPr>
                  <w:tcW w:w="2089" w:type="dxa"/>
                  <w:vAlign w:val="center"/>
                </w:tcPr>
                <w:p w14:paraId="64E75502">
                  <w:pPr>
                    <w:pStyle w:val="24"/>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c>
                <w:tcPr>
                  <w:tcW w:w="1954" w:type="dxa"/>
                  <w:vAlign w:val="center"/>
                </w:tcPr>
                <w:p w14:paraId="6C3F538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0.072</w:t>
                  </w:r>
                </w:p>
              </w:tc>
              <w:tc>
                <w:tcPr>
                  <w:tcW w:w="2136" w:type="dxa"/>
                  <w:vAlign w:val="center"/>
                </w:tcPr>
                <w:p w14:paraId="36A38B52">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0.0720</w:t>
                  </w:r>
                </w:p>
              </w:tc>
            </w:tr>
            <w:tr w14:paraId="15063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26" w:type="dxa"/>
                  <w:vMerge w:val="continue"/>
                  <w:vAlign w:val="center"/>
                </w:tcPr>
                <w:p w14:paraId="2F4B0928">
                  <w:pPr>
                    <w:pStyle w:val="24"/>
                    <w:rPr>
                      <w:rFonts w:hint="default" w:ascii="Times New Roman" w:hAnsi="Times New Roman" w:cs="Times New Roman"/>
                      <w:color w:val="auto"/>
                      <w:sz w:val="18"/>
                      <w:szCs w:val="18"/>
                      <w:highlight w:val="none"/>
                    </w:rPr>
                  </w:pPr>
                </w:p>
              </w:tc>
              <w:tc>
                <w:tcPr>
                  <w:tcW w:w="884" w:type="dxa"/>
                  <w:vAlign w:val="center"/>
                </w:tcPr>
                <w:p w14:paraId="58347238">
                  <w:pPr>
                    <w:pStyle w:val="24"/>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w:t>
                  </w:r>
                </w:p>
              </w:tc>
              <w:tc>
                <w:tcPr>
                  <w:tcW w:w="2089" w:type="dxa"/>
                  <w:vAlign w:val="center"/>
                </w:tcPr>
                <w:p w14:paraId="6D511E84">
                  <w:pPr>
                    <w:pStyle w:val="24"/>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5</w:t>
                  </w:r>
                </w:p>
              </w:tc>
              <w:tc>
                <w:tcPr>
                  <w:tcW w:w="1954" w:type="dxa"/>
                  <w:vAlign w:val="center"/>
                </w:tcPr>
                <w:p w14:paraId="61058C0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0.0072</w:t>
                  </w:r>
                </w:p>
              </w:tc>
              <w:tc>
                <w:tcPr>
                  <w:tcW w:w="2136" w:type="dxa"/>
                  <w:vAlign w:val="center"/>
                </w:tcPr>
                <w:p w14:paraId="7A44317C">
                  <w:pPr>
                    <w:keepNext w:val="0"/>
                    <w:keepLines w:val="0"/>
                    <w:widowControl/>
                    <w:suppressLineNumbers w:val="0"/>
                    <w:ind w:left="0" w:leftChars="0"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0.0072</w:t>
                  </w:r>
                </w:p>
              </w:tc>
            </w:tr>
          </w:tbl>
          <w:p w14:paraId="6C90321C">
            <w:pPr>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根据该项目特点，建议该项目执行的污染物排放总量控制项目为：CODcr、氨氮、VOCs。经核算，该项目新增的污染物允许排放量COD</w:t>
            </w:r>
            <w:r>
              <w:rPr>
                <w:rFonts w:hint="eastAsia" w:cs="Times New Roman"/>
                <w:color w:val="auto"/>
                <w:sz w:val="21"/>
                <w:szCs w:val="21"/>
                <w:highlight w:val="none"/>
                <w:vertAlign w:val="subscript"/>
                <w:lang w:val="en-US" w:eastAsia="zh-CN"/>
              </w:rPr>
              <w:t>C</w:t>
            </w:r>
            <w:r>
              <w:rPr>
                <w:rFonts w:hint="default" w:ascii="Times New Roman" w:hAnsi="Times New Roman" w:cs="Times New Roman"/>
                <w:color w:val="auto"/>
                <w:sz w:val="21"/>
                <w:szCs w:val="21"/>
                <w:highlight w:val="none"/>
                <w:vertAlign w:val="subscript"/>
              </w:rPr>
              <w:t>r</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0.0072</w:t>
            </w:r>
            <w:r>
              <w:rPr>
                <w:rFonts w:hint="default" w:ascii="Times New Roman" w:hAnsi="Times New Roman" w:cs="Times New Roman"/>
                <w:color w:val="auto"/>
                <w:sz w:val="21"/>
                <w:szCs w:val="21"/>
                <w:highlight w:val="none"/>
              </w:rPr>
              <w:t>t/a、NH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-N≤0.00</w:t>
            </w:r>
            <w:r>
              <w:rPr>
                <w:rFonts w:hint="eastAsia" w:cs="Times New Roman"/>
                <w:color w:val="auto"/>
                <w:sz w:val="21"/>
                <w:szCs w:val="21"/>
                <w:highlight w:val="none"/>
                <w:lang w:val="en-US" w:eastAsia="zh-CN"/>
              </w:rPr>
              <w:t>72</w:t>
            </w:r>
            <w:r>
              <w:rPr>
                <w:rFonts w:hint="default" w:ascii="Times New Roman" w:hAnsi="Times New Roman" w:cs="Times New Roman"/>
                <w:color w:val="auto"/>
                <w:sz w:val="21"/>
                <w:szCs w:val="21"/>
                <w:highlight w:val="none"/>
              </w:rPr>
              <w:t>t/a，COD</w:t>
            </w:r>
            <w:r>
              <w:rPr>
                <w:rFonts w:hint="eastAsia" w:cs="Times New Roman"/>
                <w:color w:val="auto"/>
                <w:sz w:val="21"/>
                <w:szCs w:val="21"/>
                <w:highlight w:val="none"/>
                <w:vertAlign w:val="subscript"/>
                <w:lang w:val="en-US" w:eastAsia="zh-CN"/>
              </w:rPr>
              <w:t>C</w:t>
            </w:r>
            <w:r>
              <w:rPr>
                <w:rFonts w:hint="default" w:ascii="Times New Roman" w:hAnsi="Times New Roman" w:cs="Times New Roman"/>
                <w:color w:val="auto"/>
                <w:sz w:val="21"/>
                <w:szCs w:val="21"/>
                <w:highlight w:val="none"/>
                <w:vertAlign w:val="subscript"/>
              </w:rPr>
              <w:t>r</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eastAsia" w:ascii="Times New Roman" w:hAnsi="Times New Roman" w:eastAsia="宋体" w:cs="Times New Roman"/>
                <w:color w:val="auto"/>
                <w:highlight w:val="none"/>
                <w:lang w:val="en-US" w:eastAsia="zh-CN"/>
              </w:rPr>
              <w:t>的排放总量指标在秀屿区港城污水处理厂已核定的水污染排放总量内调剂</w:t>
            </w:r>
            <w:r>
              <w:rPr>
                <w:rFonts w:hint="default" w:ascii="Times New Roman" w:hAnsi="Times New Roman" w:cs="Times New Roman"/>
                <w:color w:val="auto"/>
                <w:sz w:val="21"/>
                <w:szCs w:val="21"/>
                <w:highlight w:val="none"/>
              </w:rPr>
              <w:t>，故无需再申请总量</w:t>
            </w:r>
            <w:r>
              <w:rPr>
                <w:rFonts w:hint="eastAsia"/>
                <w:bCs/>
                <w:color w:val="auto"/>
                <w:highlight w:val="none"/>
                <w:lang w:val="en-US" w:eastAsia="zh-CN"/>
              </w:rPr>
              <w:t>。</w:t>
            </w:r>
            <w:r>
              <w:rPr>
                <w:rFonts w:hint="default" w:ascii="Times New Roman" w:hAnsi="Times New Roman" w:cs="Times New Roman"/>
                <w:color w:val="auto"/>
                <w:sz w:val="21"/>
                <w:szCs w:val="21"/>
                <w:highlight w:val="none"/>
              </w:rPr>
              <w:t>VOCs总量控制指标为1.2565t/a。</w:t>
            </w:r>
          </w:p>
        </w:tc>
      </w:tr>
    </w:tbl>
    <w:p w14:paraId="7B3CFEF4">
      <w:pPr>
        <w:pStyle w:val="15"/>
        <w:numPr>
          <w:ilvl w:val="0"/>
          <w:numId w:val="0"/>
        </w:numPr>
        <w:ind w:right="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9F37E41">
      <w:pPr>
        <w:jc w:val="center"/>
        <w:outlineLvl w:val="0"/>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四.主要环境影响和环境保护措施</w:t>
      </w:r>
    </w:p>
    <w:tbl>
      <w:tblPr>
        <w:tblStyle w:val="17"/>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00"/>
      </w:tblGrid>
      <w:tr w14:paraId="259F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trPr>
        <w:tc>
          <w:tcPr>
            <w:tcW w:w="426" w:type="dxa"/>
            <w:vAlign w:val="center"/>
          </w:tcPr>
          <w:p w14:paraId="54CC6E9D">
            <w:pPr>
              <w:ind w:left="0" w:leftChars="0" w:firstLine="0" w:firstLineChars="0"/>
              <w:jc w:val="left"/>
              <w:rPr>
                <w:rFonts w:hint="default"/>
                <w:lang w:val="en-US" w:eastAsia="zh-CN"/>
              </w:rPr>
            </w:pPr>
            <w:r>
              <w:rPr>
                <w:rFonts w:hint="eastAsia"/>
                <w:lang w:val="en-US" w:eastAsia="zh-CN"/>
              </w:rPr>
              <w:t>施工期环境影响保护措施</w:t>
            </w:r>
          </w:p>
        </w:tc>
        <w:tc>
          <w:tcPr>
            <w:tcW w:w="8500" w:type="dxa"/>
            <w:vAlign w:val="center"/>
          </w:tcPr>
          <w:p w14:paraId="59491158">
            <w:pPr>
              <w:spacing w:line="360" w:lineRule="auto"/>
              <w:jc w:val="both"/>
              <w:rPr>
                <w:rFonts w:hint="eastAsia" w:ascii="黑体" w:hAnsi="黑体" w:eastAsia="黑体" w:cs="黑体"/>
                <w:b w:val="0"/>
                <w:bCs w:val="0"/>
                <w:sz w:val="30"/>
                <w:szCs w:val="30"/>
                <w:lang w:val="en-US" w:eastAsia="zh-CN"/>
              </w:rPr>
            </w:pPr>
            <w:r>
              <w:rPr>
                <w:rFonts w:hint="default" w:ascii="Times New Roman" w:hAnsi="Times New Roman" w:eastAsia="宋体" w:cs="Times New Roman"/>
                <w:bCs/>
                <w:color w:val="auto"/>
                <w:spacing w:val="0"/>
                <w:sz w:val="21"/>
                <w:szCs w:val="21"/>
                <w:lang w:val="en-US" w:eastAsia="zh-CN"/>
              </w:rPr>
              <w:t>本项目</w:t>
            </w:r>
            <w:r>
              <w:rPr>
                <w:rFonts w:hint="eastAsia" w:ascii="Times New Roman" w:hAnsi="Times New Roman" w:eastAsia="宋体" w:cs="Times New Roman"/>
                <w:bCs/>
                <w:color w:val="auto"/>
                <w:spacing w:val="0"/>
                <w:sz w:val="21"/>
                <w:szCs w:val="21"/>
                <w:lang w:val="en-US" w:eastAsia="zh-CN"/>
              </w:rPr>
              <w:t>利用</w:t>
            </w:r>
            <w:r>
              <w:rPr>
                <w:rFonts w:hint="default" w:ascii="Times New Roman" w:hAnsi="Times New Roman" w:eastAsia="宋体" w:cs="Times New Roman"/>
                <w:bCs/>
                <w:color w:val="auto"/>
                <w:spacing w:val="0"/>
                <w:sz w:val="21"/>
                <w:szCs w:val="21"/>
                <w:lang w:val="en-US" w:eastAsia="zh-CN"/>
              </w:rPr>
              <w:t>已建工业厂房，仅进行生产设备及环保设施的安装，</w:t>
            </w:r>
            <w:r>
              <w:rPr>
                <w:rFonts w:hint="eastAsia" w:ascii="Times New Roman" w:hAnsi="Times New Roman" w:eastAsia="宋体" w:cs="Times New Roman"/>
                <w:b w:val="0"/>
                <w:bCs/>
                <w:color w:val="auto"/>
                <w:kern w:val="2"/>
                <w:sz w:val="21"/>
                <w:szCs w:val="21"/>
                <w:lang w:val="en-US" w:eastAsia="zh-CN" w:bidi="ar-SA"/>
              </w:rPr>
              <w:t>没有土建和其他施工，因此施工期对周边环境的影响主要是设备安装时发出的噪声。在设备安装时加强管理，设备安装过程中应注意轻拿轻放，避免因设备安装不当产生的噪声。经采取措施后，本项目施工期对周围环境基本不会产生影响。</w:t>
            </w:r>
          </w:p>
        </w:tc>
      </w:tr>
      <w:tr w14:paraId="1772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6" w:hRule="atLeast"/>
        </w:trPr>
        <w:tc>
          <w:tcPr>
            <w:tcW w:w="426" w:type="dxa"/>
            <w:vAlign w:val="center"/>
          </w:tcPr>
          <w:p w14:paraId="6DB90F65">
            <w:pPr>
              <w:ind w:left="0" w:leftChars="0" w:firstLine="0" w:firstLineChars="0"/>
              <w:jc w:val="left"/>
              <w:rPr>
                <w:rFonts w:hint="default"/>
                <w:lang w:val="en-US" w:eastAsia="zh-CN"/>
              </w:rPr>
            </w:pPr>
            <w:r>
              <w:rPr>
                <w:rFonts w:hint="eastAsia"/>
                <w:lang w:val="en-US" w:eastAsia="zh-CN"/>
              </w:rPr>
              <w:t>运营期环境影响和保护措施</w:t>
            </w:r>
          </w:p>
        </w:tc>
        <w:tc>
          <w:tcPr>
            <w:tcW w:w="8500" w:type="dxa"/>
            <w:vAlign w:val="top"/>
          </w:tcPr>
          <w:p w14:paraId="63465064">
            <w:pPr>
              <w:spacing w:line="360" w:lineRule="auto"/>
              <w:ind w:left="0" w:leftChars="0" w:firstLine="0" w:firstLineChars="0"/>
              <w:rPr>
                <w:rFonts w:hint="default"/>
                <w:b/>
                <w:bCs/>
                <w:lang w:eastAsia="zh-CN"/>
              </w:rPr>
            </w:pPr>
            <w:r>
              <w:rPr>
                <w:rFonts w:hint="default"/>
                <w:b/>
                <w:bCs/>
                <w:lang w:val="en-US" w:eastAsia="zh-CN"/>
              </w:rPr>
              <w:t>1.项目运营期生产废气</w:t>
            </w:r>
          </w:p>
          <w:p w14:paraId="313A7C5A">
            <w:pPr>
              <w:spacing w:line="360" w:lineRule="auto"/>
              <w:rPr>
                <w:rFonts w:hint="default"/>
                <w:b/>
                <w:bCs/>
                <w:lang w:val="en-US" w:eastAsia="zh-CN"/>
              </w:rPr>
            </w:pPr>
            <w:r>
              <w:rPr>
                <w:rFonts w:hint="default"/>
                <w:b/>
                <w:bCs/>
                <w:lang w:val="en-US" w:eastAsia="zh-CN"/>
              </w:rPr>
              <w:t>（1）废气</w:t>
            </w:r>
            <w:r>
              <w:rPr>
                <w:rFonts w:hint="eastAsia"/>
                <w:b/>
                <w:bCs/>
                <w:lang w:val="en-US" w:eastAsia="zh-CN"/>
              </w:rPr>
              <w:t>源强</w:t>
            </w:r>
          </w:p>
          <w:p w14:paraId="2A3B806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根据工艺流程分析项目主要污染源为：</w:t>
            </w:r>
            <w:r>
              <w:rPr>
                <w:rFonts w:hint="default"/>
                <w:b w:val="0"/>
                <w:bCs w:val="0"/>
                <w:lang w:val="en-US" w:eastAsia="zh-CN"/>
              </w:rPr>
              <w:t>①</w:t>
            </w:r>
            <w:r>
              <w:rPr>
                <w:rFonts w:hint="eastAsia"/>
                <w:b w:val="0"/>
                <w:bCs w:val="0"/>
                <w:lang w:val="en-US" w:eastAsia="zh-CN"/>
              </w:rPr>
              <w:t>切割、刨平、打磨、开料、制作造型等工序产生的木屑颗粒物；</w:t>
            </w:r>
            <w:r>
              <w:rPr>
                <w:rFonts w:hint="default" w:ascii="Times New Roman" w:hAnsi="Times New Roman" w:cs="Times New Roman"/>
                <w:b w:val="0"/>
                <w:bCs w:val="0"/>
                <w:lang w:val="en-US" w:eastAsia="zh-CN"/>
              </w:rPr>
              <w:t>②</w:t>
            </w:r>
            <w:r>
              <w:rPr>
                <w:rFonts w:hint="eastAsia"/>
                <w:b w:val="0"/>
                <w:bCs w:val="0"/>
                <w:lang w:val="en-US" w:eastAsia="zh-CN"/>
              </w:rPr>
              <w:t>底漆打磨工序产生的颗粒物；</w:t>
            </w:r>
            <w:r>
              <w:rPr>
                <w:rFonts w:hint="default" w:ascii="Times New Roman" w:hAnsi="Times New Roman" w:eastAsia="宋体" w:cs="Times New Roman"/>
                <w:b w:val="0"/>
                <w:bCs w:val="0"/>
                <w:lang w:val="en-US" w:eastAsia="zh-CN"/>
              </w:rPr>
              <w:t>③</w:t>
            </w:r>
            <w:r>
              <w:rPr>
                <w:rFonts w:hint="eastAsia"/>
                <w:lang w:val="en-US" w:eastAsia="zh-CN"/>
              </w:rPr>
              <w:t>上底漆、上面漆、晾干等工序产生的颗粒物和有机废气（非甲烷总烃、甲苯、二甲苯、乙酸乙酯和乙酸丁酯合计）。</w:t>
            </w:r>
          </w:p>
          <w:p w14:paraId="33303293">
            <w:pPr>
              <w:wordWrap/>
              <w:adjustRightInd/>
              <w:spacing w:line="360" w:lineRule="auto"/>
              <w:textAlignment w:val="auto"/>
              <w:rPr>
                <w:rFonts w:hint="default"/>
                <w:b/>
                <w:bCs/>
                <w:lang w:val="en-US" w:eastAsia="zh-CN"/>
              </w:rPr>
            </w:pPr>
            <w:r>
              <w:rPr>
                <w:rFonts w:hint="default"/>
                <w:b/>
                <w:bCs/>
                <w:lang w:val="en-US" w:eastAsia="zh-CN"/>
              </w:rPr>
              <w:t>①</w:t>
            </w:r>
            <w:r>
              <w:rPr>
                <w:rFonts w:hint="eastAsia"/>
                <w:b/>
                <w:bCs/>
                <w:lang w:val="en-US" w:eastAsia="zh-CN"/>
              </w:rPr>
              <w:t>木屑颗粒物</w:t>
            </w:r>
          </w:p>
          <w:p w14:paraId="642494B9">
            <w:pPr>
              <w:pStyle w:val="15"/>
              <w:keepNext w:val="0"/>
              <w:keepLines w:val="0"/>
              <w:pageBreakBefore w:val="0"/>
              <w:widowControl/>
              <w:kinsoku/>
              <w:wordWrap/>
              <w:overflowPunct/>
              <w:topLinePunct w:val="0"/>
              <w:autoSpaceDE/>
              <w:autoSpaceDN/>
              <w:bidi w:val="0"/>
              <w:adjustRightInd/>
              <w:snapToGrid w:val="0"/>
              <w:spacing w:beforeLines="0" w:line="360" w:lineRule="auto"/>
              <w:textAlignment w:val="auto"/>
              <w:rPr>
                <w:rFonts w:hint="default"/>
                <w:lang w:val="en-US" w:eastAsia="zh-CN"/>
              </w:rPr>
            </w:pPr>
            <w:r>
              <w:rPr>
                <w:rFonts w:hint="eastAsia" w:ascii="Times New Roman" w:hAnsi="Times New Roman" w:cs="Times New Roman"/>
                <w:lang w:val="en-US" w:eastAsia="zh-CN"/>
              </w:rPr>
              <w:t>项目年工作300天，每天8小时。项目</w:t>
            </w:r>
            <w:r>
              <w:rPr>
                <w:rFonts w:hint="eastAsia"/>
                <w:b w:val="0"/>
                <w:bCs w:val="0"/>
                <w:lang w:val="en-US" w:eastAsia="zh-CN"/>
              </w:rPr>
              <w:t>切割、刨平、打磨、开料、制作造型等工序</w:t>
            </w:r>
            <w:r>
              <w:rPr>
                <w:rFonts w:hint="eastAsia" w:ascii="Times New Roman" w:hAnsi="Times New Roman" w:cs="Times New Roman"/>
                <w:lang w:val="en-US" w:eastAsia="zh-CN"/>
              </w:rPr>
              <w:t>有木屑粉尘产生。根据《工业源产排污核算方法和系数手册-211木质家具制造行业》中2110木质家具制造行业系数表可知，颗粒物的产污系数为150克/立方米-原料，系数详见表4-1。本项目木材用量共230m³，则木工车间粉尘产生量为0.0345t/a，该工段采用集气罩+布袋除尘器处理后通过无组织排放，集气罩收集效率≥70%，布袋除尘器处理效率≥90%。</w:t>
            </w:r>
            <w:r>
              <w:rPr>
                <w:rFonts w:hint="eastAsia"/>
                <w:lang w:val="en-US" w:eastAsia="zh-CN"/>
              </w:rPr>
              <w:t>产排情况见下表</w:t>
            </w:r>
            <w:r>
              <w:rPr>
                <w:rFonts w:hint="default" w:ascii="Times New Roman" w:hAnsi="Times New Roman" w:cs="Times New Roman"/>
                <w:lang w:val="en-US" w:eastAsia="zh-CN"/>
              </w:rPr>
              <w:t>4-1</w:t>
            </w:r>
            <w:r>
              <w:rPr>
                <w:rFonts w:hint="eastAsia"/>
                <w:lang w:val="en-US" w:eastAsia="zh-CN"/>
              </w:rPr>
              <w:t>。</w:t>
            </w:r>
          </w:p>
          <w:p w14:paraId="0058538B">
            <w:pPr>
              <w:widowControl w:val="0"/>
              <w:wordWrap/>
              <w:adjustRightInd/>
              <w:snapToGrid/>
              <w:spacing w:line="360" w:lineRule="auto"/>
              <w:ind w:firstLine="0" w:firstLineChars="0"/>
              <w:jc w:val="center"/>
              <w:textAlignment w:val="auto"/>
              <w:rPr>
                <w:rFonts w:hint="default"/>
                <w:b/>
                <w:bCs/>
                <w:lang w:val="en-US" w:eastAsia="zh-CN"/>
              </w:rPr>
            </w:pPr>
            <w:r>
              <w:rPr>
                <w:rFonts w:hint="eastAsia" w:cs="Times New Roman"/>
                <w:b/>
                <w:bCs/>
                <w:lang w:val="en-US" w:eastAsia="zh-CN"/>
              </w:rPr>
              <w:t>表4-1  项目木屑颗粒物产排情况一览表</w:t>
            </w:r>
          </w:p>
          <w:tbl>
            <w:tblPr>
              <w:tblStyle w:val="17"/>
              <w:tblW w:w="80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1"/>
              <w:gridCol w:w="1027"/>
              <w:gridCol w:w="1334"/>
              <w:gridCol w:w="1334"/>
              <w:gridCol w:w="1334"/>
              <w:gridCol w:w="1335"/>
            </w:tblGrid>
            <w:tr w14:paraId="16635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51" w:type="dxa"/>
                  <w:tcBorders>
                    <w:tl2br w:val="nil"/>
                    <w:tr2bl w:val="nil"/>
                  </w:tcBorders>
                  <w:vAlign w:val="center"/>
                </w:tcPr>
                <w:p w14:paraId="584E23D2">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排放</w:t>
                  </w:r>
                </w:p>
                <w:p w14:paraId="04E486F8">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类型</w:t>
                  </w:r>
                </w:p>
              </w:tc>
              <w:tc>
                <w:tcPr>
                  <w:tcW w:w="821" w:type="dxa"/>
                  <w:tcBorders>
                    <w:tl2br w:val="nil"/>
                    <w:tr2bl w:val="nil"/>
                  </w:tcBorders>
                  <w:vAlign w:val="center"/>
                </w:tcPr>
                <w:p w14:paraId="19C423FD">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收集</w:t>
                  </w:r>
                </w:p>
                <w:p w14:paraId="04B91FE0">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效率</w:t>
                  </w:r>
                </w:p>
              </w:tc>
              <w:tc>
                <w:tcPr>
                  <w:tcW w:w="1027" w:type="dxa"/>
                  <w:tcBorders>
                    <w:tl2br w:val="nil"/>
                    <w:tr2bl w:val="nil"/>
                  </w:tcBorders>
                  <w:vAlign w:val="center"/>
                </w:tcPr>
                <w:p w14:paraId="0E5C976A">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处理</w:t>
                  </w:r>
                </w:p>
                <w:p w14:paraId="2998479A">
                  <w:pPr>
                    <w:pStyle w:val="15"/>
                    <w:widowControl/>
                    <w:wordWrap/>
                    <w:adjustRightInd/>
                    <w:snapToGrid w:val="0"/>
                    <w:spacing w:line="240" w:lineRule="auto"/>
                    <w:ind w:left="0" w:leftChars="0" w:firstLine="0" w:firstLineChars="0"/>
                    <w:jc w:val="center"/>
                    <w:textAlignment w:val="auto"/>
                    <w:rPr>
                      <w:rFonts w:hint="default" w:ascii="Times New Roman" w:hAnsi="Times New Roman"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效率</w:t>
                  </w:r>
                </w:p>
              </w:tc>
              <w:tc>
                <w:tcPr>
                  <w:tcW w:w="1334" w:type="dxa"/>
                  <w:tcBorders>
                    <w:tl2br w:val="nil"/>
                    <w:tr2bl w:val="nil"/>
                  </w:tcBorders>
                  <w:vAlign w:val="center"/>
                </w:tcPr>
                <w:p w14:paraId="42AD99E5">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颗粒物</w:t>
                  </w:r>
                </w:p>
                <w:p w14:paraId="4A866A8D">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总</w:t>
                  </w:r>
                  <w:r>
                    <w:rPr>
                      <w:rFonts w:hint="default" w:ascii="Times New Roman" w:hAnsi="Times New Roman" w:eastAsia="宋体" w:cs="Times New Roman"/>
                      <w:b/>
                      <w:bCs/>
                      <w:i w:val="0"/>
                      <w:iCs w:val="0"/>
                      <w:sz w:val="18"/>
                      <w:szCs w:val="18"/>
                      <w:lang w:val="en-US" w:eastAsia="zh-CN"/>
                    </w:rPr>
                    <w:t>产生量t/a</w:t>
                  </w:r>
                </w:p>
              </w:tc>
              <w:tc>
                <w:tcPr>
                  <w:tcW w:w="1334" w:type="dxa"/>
                  <w:tcBorders>
                    <w:tl2br w:val="nil"/>
                    <w:tr2bl w:val="nil"/>
                  </w:tcBorders>
                  <w:vAlign w:val="center"/>
                </w:tcPr>
                <w:p w14:paraId="3913FA14">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i w:val="0"/>
                      <w:iCs w:val="0"/>
                      <w:sz w:val="18"/>
                      <w:szCs w:val="18"/>
                      <w:lang w:val="en-US" w:eastAsia="zh-CN"/>
                    </w:rPr>
                  </w:pPr>
                  <w:r>
                    <w:rPr>
                      <w:rFonts w:hint="eastAsia" w:ascii="Times New Roman" w:hAnsi="Times New Roman" w:cs="Times New Roman"/>
                      <w:b/>
                      <w:bCs/>
                      <w:i w:val="0"/>
                      <w:iCs w:val="0"/>
                      <w:sz w:val="18"/>
                      <w:szCs w:val="18"/>
                      <w:lang w:val="en-US" w:eastAsia="zh-CN"/>
                    </w:rPr>
                    <w:t>处理量</w:t>
                  </w:r>
                </w:p>
                <w:p w14:paraId="5C255256">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default" w:ascii="Times New Roman" w:hAnsi="Times New Roman" w:eastAsia="宋体" w:cs="Times New Roman"/>
                      <w:b/>
                      <w:bCs/>
                      <w:i w:val="0"/>
                      <w:iCs w:val="0"/>
                      <w:sz w:val="18"/>
                      <w:szCs w:val="18"/>
                      <w:lang w:val="en-US" w:eastAsia="zh-CN"/>
                    </w:rPr>
                    <w:t>t/a</w:t>
                  </w:r>
                </w:p>
              </w:tc>
              <w:tc>
                <w:tcPr>
                  <w:tcW w:w="1334" w:type="dxa"/>
                  <w:tcBorders>
                    <w:tl2br w:val="nil"/>
                    <w:tr2bl w:val="nil"/>
                  </w:tcBorders>
                  <w:vAlign w:val="center"/>
                </w:tcPr>
                <w:p w14:paraId="3F2C48A6">
                  <w:pPr>
                    <w:pStyle w:val="15"/>
                    <w:widowControl/>
                    <w:wordWrap/>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default" w:ascii="Times New Roman" w:hAnsi="Times New Roman" w:eastAsia="宋体" w:cs="Times New Roman"/>
                      <w:b/>
                      <w:bCs/>
                      <w:i w:val="0"/>
                      <w:iCs w:val="0"/>
                      <w:sz w:val="18"/>
                      <w:szCs w:val="18"/>
                      <w:lang w:val="en-US" w:eastAsia="zh-CN"/>
                    </w:rPr>
                    <w:t>排放量</w:t>
                  </w:r>
                </w:p>
                <w:p w14:paraId="70F9A5BD">
                  <w:pPr>
                    <w:pStyle w:val="15"/>
                    <w:widowControl/>
                    <w:wordWrap/>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default" w:ascii="Times New Roman" w:hAnsi="Times New Roman" w:eastAsia="宋体" w:cs="Times New Roman"/>
                      <w:b/>
                      <w:bCs/>
                      <w:i w:val="0"/>
                      <w:iCs w:val="0"/>
                      <w:sz w:val="18"/>
                      <w:szCs w:val="18"/>
                      <w:lang w:val="en-US" w:eastAsia="zh-CN"/>
                    </w:rPr>
                    <w:t>t/a</w:t>
                  </w:r>
                </w:p>
              </w:tc>
              <w:tc>
                <w:tcPr>
                  <w:tcW w:w="1335" w:type="dxa"/>
                  <w:tcBorders>
                    <w:tl2br w:val="nil"/>
                    <w:tr2bl w:val="nil"/>
                  </w:tcBorders>
                  <w:vAlign w:val="center"/>
                </w:tcPr>
                <w:p w14:paraId="20CA694B">
                  <w:pPr>
                    <w:pStyle w:val="15"/>
                    <w:widowControl/>
                    <w:wordWrap/>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i w:val="0"/>
                      <w:iCs w:val="0"/>
                      <w:sz w:val="18"/>
                      <w:szCs w:val="18"/>
                      <w:lang w:val="en-US" w:eastAsia="zh-CN"/>
                    </w:rPr>
                  </w:pPr>
                  <w:r>
                    <w:rPr>
                      <w:rFonts w:hint="default" w:ascii="Times New Roman" w:hAnsi="Times New Roman" w:eastAsia="宋体" w:cs="Times New Roman"/>
                      <w:b/>
                      <w:bCs/>
                      <w:i w:val="0"/>
                      <w:iCs w:val="0"/>
                      <w:sz w:val="18"/>
                      <w:szCs w:val="18"/>
                      <w:lang w:val="en-US" w:eastAsia="zh-CN"/>
                    </w:rPr>
                    <w:t>排放速率</w:t>
                  </w:r>
                  <w:r>
                    <w:rPr>
                      <w:rFonts w:hint="eastAsia" w:ascii="Times New Roman" w:hAnsi="Times New Roman" w:cs="Times New Roman"/>
                      <w:b/>
                      <w:bCs/>
                      <w:i w:val="0"/>
                      <w:iCs w:val="0"/>
                      <w:sz w:val="18"/>
                      <w:szCs w:val="18"/>
                      <w:lang w:val="en-US" w:eastAsia="zh-CN"/>
                    </w:rPr>
                    <w:t>（kg/h）</w:t>
                  </w:r>
                </w:p>
              </w:tc>
            </w:tr>
            <w:tr w14:paraId="79A7C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1" w:type="dxa"/>
                  <w:tcBorders>
                    <w:tl2br w:val="nil"/>
                    <w:tr2bl w:val="nil"/>
                  </w:tcBorders>
                  <w:vAlign w:val="center"/>
                </w:tcPr>
                <w:p w14:paraId="15388297">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无组织</w:t>
                  </w:r>
                </w:p>
              </w:tc>
              <w:tc>
                <w:tcPr>
                  <w:tcW w:w="821" w:type="dxa"/>
                  <w:tcBorders>
                    <w:tl2br w:val="nil"/>
                    <w:tr2bl w:val="nil"/>
                  </w:tcBorders>
                  <w:vAlign w:val="center"/>
                </w:tcPr>
                <w:p w14:paraId="1EBA3567">
                  <w:pPr>
                    <w:pStyle w:val="15"/>
                    <w:widowControl/>
                    <w:wordWrap/>
                    <w:adjustRightInd/>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70%</w:t>
                  </w:r>
                </w:p>
              </w:tc>
              <w:tc>
                <w:tcPr>
                  <w:tcW w:w="1027" w:type="dxa"/>
                  <w:tcBorders>
                    <w:tl2br w:val="nil"/>
                    <w:tr2bl w:val="nil"/>
                  </w:tcBorders>
                  <w:vAlign w:val="center"/>
                </w:tcPr>
                <w:p w14:paraId="70E9322F">
                  <w:pPr>
                    <w:pStyle w:val="15"/>
                    <w:widowControl/>
                    <w:wordWrap/>
                    <w:adjustRightInd/>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90%</w:t>
                  </w:r>
                </w:p>
              </w:tc>
              <w:tc>
                <w:tcPr>
                  <w:tcW w:w="1334" w:type="dxa"/>
                  <w:tcBorders>
                    <w:tl2br w:val="nil"/>
                    <w:tr2bl w:val="nil"/>
                  </w:tcBorders>
                  <w:vAlign w:val="center"/>
                </w:tcPr>
                <w:p w14:paraId="581A189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0.081</w:t>
                  </w:r>
                </w:p>
              </w:tc>
              <w:tc>
                <w:tcPr>
                  <w:tcW w:w="1334" w:type="dxa"/>
                  <w:tcBorders>
                    <w:tl2br w:val="nil"/>
                    <w:tr2bl w:val="nil"/>
                  </w:tcBorders>
                  <w:vAlign w:val="center"/>
                </w:tcPr>
                <w:p w14:paraId="45DEDC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0.051</w:t>
                  </w:r>
                </w:p>
              </w:tc>
              <w:tc>
                <w:tcPr>
                  <w:tcW w:w="1334" w:type="dxa"/>
                  <w:tcBorders>
                    <w:tl2br w:val="nil"/>
                    <w:tr2bl w:val="nil"/>
                  </w:tcBorders>
                  <w:vAlign w:val="center"/>
                </w:tcPr>
                <w:p w14:paraId="69D3408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0.030</w:t>
                  </w:r>
                </w:p>
              </w:tc>
              <w:tc>
                <w:tcPr>
                  <w:tcW w:w="1335" w:type="dxa"/>
                  <w:tcBorders>
                    <w:tl2br w:val="nil"/>
                    <w:tr2bl w:val="nil"/>
                  </w:tcBorders>
                  <w:vAlign w:val="center"/>
                </w:tcPr>
                <w:p w14:paraId="48F40DA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0.0125</w:t>
                  </w:r>
                </w:p>
              </w:tc>
            </w:tr>
          </w:tbl>
          <w:p w14:paraId="781AC394">
            <w:pPr>
              <w:pStyle w:val="15"/>
              <w:widowControl/>
              <w:wordWrap/>
              <w:adjustRightInd/>
              <w:snapToGrid w:val="0"/>
              <w:spacing w:beforeLines="50" w:line="360" w:lineRule="auto"/>
              <w:textAlignment w:val="auto"/>
              <w:rPr>
                <w:rFonts w:hint="eastAsia" w:ascii="Times New Roman" w:hAnsi="Times New Roman" w:cs="Times New Roman"/>
                <w:b/>
                <w:bCs/>
                <w:lang w:val="en-US" w:eastAsia="zh-CN"/>
              </w:rPr>
            </w:pPr>
            <w:r>
              <w:rPr>
                <w:rFonts w:hint="default" w:ascii="Times New Roman" w:hAnsi="Times New Roman" w:cs="Times New Roman"/>
                <w:b/>
                <w:bCs/>
                <w:lang w:val="en-US" w:eastAsia="zh-CN"/>
              </w:rPr>
              <w:t>②底漆打磨工序产生的颗粒物</w:t>
            </w:r>
          </w:p>
          <w:p w14:paraId="68BDE3BE">
            <w:pPr>
              <w:spacing w:line="360" w:lineRule="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本项目产品在</w:t>
            </w:r>
            <w:r>
              <w:rPr>
                <w:rFonts w:hint="default" w:ascii="Times New Roman" w:hAnsi="Times New Roman" w:cs="Times New Roman"/>
                <w:b w:val="0"/>
                <w:bCs w:val="0"/>
                <w:sz w:val="21"/>
                <w:szCs w:val="21"/>
                <w:lang w:val="en-US" w:eastAsia="zh-CN"/>
              </w:rPr>
              <w:t>喷完底漆后会进行打磨工序，底漆打磨是在喷底漆并干燥后进行，以消除底漆表面起泡等，使家具表面光滑，打磨过程会有粉尘产生。项目打磨过程产生的底漆粉尘</w:t>
            </w:r>
            <w:r>
              <w:rPr>
                <w:rFonts w:hint="eastAsia" w:ascii="Times New Roman" w:hAnsi="Times New Roman" w:cs="Times New Roman"/>
                <w:b w:val="0"/>
                <w:bCs w:val="0"/>
                <w:sz w:val="21"/>
                <w:szCs w:val="21"/>
                <w:lang w:val="en-US" w:eastAsia="zh-CN"/>
              </w:rPr>
              <w:t>经水帘柜处理后排放</w:t>
            </w:r>
            <w:r>
              <w:rPr>
                <w:rFonts w:hint="default" w:ascii="Times New Roman" w:hAnsi="Times New Roman" w:cs="Times New Roman"/>
                <w:b w:val="0"/>
                <w:bCs w:val="0"/>
                <w:sz w:val="21"/>
                <w:szCs w:val="21"/>
                <w:lang w:val="en-US" w:eastAsia="zh-CN"/>
              </w:rPr>
              <w:t>。</w:t>
            </w:r>
          </w:p>
          <w:p w14:paraId="584984E6">
            <w:pPr>
              <w:spacing w:line="360" w:lineRule="auto"/>
              <w:rPr>
                <w:rFonts w:hint="eastAsia"/>
                <w:lang w:val="en-US" w:eastAsia="zh-CN"/>
              </w:rPr>
            </w:pPr>
            <w:r>
              <w:rPr>
                <w:rFonts w:hint="default" w:ascii="Times New Roman" w:hAnsi="Times New Roman" w:cs="Times New Roman"/>
                <w:b w:val="0"/>
                <w:bCs w:val="0"/>
                <w:sz w:val="21"/>
                <w:szCs w:val="21"/>
                <w:lang w:val="en-US" w:eastAsia="zh-CN"/>
              </w:rPr>
              <w:t>底漆打磨粉尘产生量约占底漆用量的1%-4%，环评估算按底漆打磨粉尘产生量占底漆漆膜的4%计，本项目底漆用量约</w:t>
            </w:r>
            <w:r>
              <w:rPr>
                <w:rFonts w:hint="eastAsia" w:cs="Times New Roman"/>
                <w:b w:val="0"/>
                <w:bCs w:val="0"/>
                <w:sz w:val="21"/>
                <w:szCs w:val="21"/>
                <w:lang w:val="en-US" w:eastAsia="zh-CN"/>
              </w:rPr>
              <w:t>4.1</w:t>
            </w:r>
            <w:r>
              <w:rPr>
                <w:rFonts w:hint="default" w:ascii="Times New Roman" w:hAnsi="Times New Roman" w:cs="Times New Roman"/>
                <w:b w:val="0"/>
                <w:bCs w:val="0"/>
                <w:sz w:val="21"/>
                <w:szCs w:val="21"/>
                <w:lang w:val="en-US" w:eastAsia="zh-CN"/>
              </w:rPr>
              <w:t>t/a，可得本项目底漆打磨过程中的粉尘产生量约为</w:t>
            </w:r>
            <w:r>
              <w:rPr>
                <w:rFonts w:hint="eastAsia" w:ascii="Times New Roman" w:hAnsi="Times New Roman" w:cs="Times New Roman"/>
                <w:b w:val="0"/>
                <w:bCs w:val="0"/>
                <w:sz w:val="21"/>
                <w:szCs w:val="21"/>
                <w:lang w:val="en-US" w:eastAsia="zh-CN"/>
              </w:rPr>
              <w:t>0.</w:t>
            </w:r>
            <w:r>
              <w:rPr>
                <w:rFonts w:hint="eastAsia"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64</w:t>
            </w:r>
            <w:r>
              <w:rPr>
                <w:rFonts w:hint="default" w:ascii="Times New Roman" w:hAnsi="Times New Roman" w:cs="Times New Roman"/>
                <w:b w:val="0"/>
                <w:bCs w:val="0"/>
                <w:sz w:val="21"/>
                <w:szCs w:val="21"/>
                <w:lang w:val="en-US" w:eastAsia="zh-CN"/>
              </w:rPr>
              <w:t>t/a。打磨粉尘</w:t>
            </w:r>
            <w:r>
              <w:rPr>
                <w:rFonts w:hint="eastAsia" w:ascii="Times New Roman" w:hAnsi="Times New Roman" w:cs="Times New Roman"/>
                <w:b w:val="0"/>
                <w:bCs w:val="0"/>
                <w:sz w:val="21"/>
                <w:szCs w:val="21"/>
                <w:lang w:val="en-US" w:eastAsia="zh-CN"/>
              </w:rPr>
              <w:t>经水帘柜</w:t>
            </w:r>
            <w:r>
              <w:rPr>
                <w:rFonts w:hint="default" w:ascii="Times New Roman" w:hAnsi="Times New Roman" w:cs="Times New Roman"/>
                <w:b w:val="0"/>
                <w:bCs w:val="0"/>
                <w:sz w:val="21"/>
                <w:szCs w:val="21"/>
                <w:lang w:val="en-US" w:eastAsia="zh-CN"/>
              </w:rPr>
              <w:t>处理后未通过排气筒排放，采用直接无组织排放。</w:t>
            </w:r>
            <w:r>
              <w:rPr>
                <w:rFonts w:hint="eastAsia" w:ascii="Times New Roman" w:hAnsi="Times New Roman" w:cs="Times New Roman"/>
                <w:b w:val="0"/>
                <w:bCs w:val="0"/>
                <w:sz w:val="21"/>
                <w:szCs w:val="21"/>
                <w:lang w:val="en-US" w:eastAsia="zh-CN"/>
              </w:rPr>
              <w:t>水帘柜的</w:t>
            </w:r>
            <w:r>
              <w:rPr>
                <w:rFonts w:hint="default" w:ascii="Times New Roman" w:hAnsi="Times New Roman" w:cs="Times New Roman"/>
                <w:b w:val="0"/>
                <w:bCs w:val="0"/>
                <w:sz w:val="21"/>
                <w:szCs w:val="21"/>
                <w:lang w:val="en-US" w:eastAsia="zh-CN"/>
              </w:rPr>
              <w:t>收集效率取</w:t>
            </w:r>
            <w:r>
              <w:rPr>
                <w:rFonts w:hint="eastAsia" w:ascii="Times New Roman" w:hAnsi="Times New Roman" w:cs="Times New Roman"/>
                <w:b w:val="0"/>
                <w:bCs w:val="0"/>
                <w:sz w:val="21"/>
                <w:szCs w:val="21"/>
                <w:lang w:val="en-US" w:eastAsia="zh-CN"/>
              </w:rPr>
              <w:t>70</w:t>
            </w:r>
            <w:r>
              <w:rPr>
                <w:rFonts w:hint="default" w:ascii="Times New Roman" w:hAnsi="Times New Roman" w:cs="Times New Roman"/>
                <w:b w:val="0"/>
                <w:bCs w:val="0"/>
                <w:sz w:val="21"/>
                <w:szCs w:val="21"/>
                <w:lang w:val="en-US" w:eastAsia="zh-CN"/>
              </w:rPr>
              <w:t>%，处理效率</w:t>
            </w:r>
            <w:r>
              <w:rPr>
                <w:rFonts w:hint="eastAsia" w:ascii="Times New Roman" w:hAnsi="Times New Roman" w:cs="Times New Roman"/>
                <w:b w:val="0"/>
                <w:bCs w:val="0"/>
                <w:sz w:val="21"/>
                <w:szCs w:val="21"/>
                <w:lang w:val="en-US" w:eastAsia="zh-CN"/>
              </w:rPr>
              <w:t>≥80</w:t>
            </w:r>
            <w:r>
              <w:rPr>
                <w:rFonts w:hint="default" w:ascii="Times New Roman" w:hAnsi="Times New Roman" w:cs="Times New Roman"/>
                <w:b w:val="0"/>
                <w:bCs w:val="0"/>
                <w:sz w:val="21"/>
                <w:szCs w:val="21"/>
                <w:lang w:val="en-US" w:eastAsia="zh-CN"/>
              </w:rPr>
              <w:t>%，则底漆粉尘无组织的排放量为0.0</w:t>
            </w:r>
            <w:r>
              <w:rPr>
                <w:rFonts w:hint="eastAsia" w:ascii="Times New Roman" w:hAnsi="Times New Roman" w:cs="Times New Roman"/>
                <w:b w:val="0"/>
                <w:bCs w:val="0"/>
                <w:sz w:val="21"/>
                <w:szCs w:val="21"/>
                <w:lang w:val="en-US" w:eastAsia="zh-CN"/>
              </w:rPr>
              <w:t>282</w:t>
            </w:r>
            <w:r>
              <w:rPr>
                <w:rFonts w:hint="default" w:ascii="Times New Roman" w:hAnsi="Times New Roman" w:cs="Times New Roman"/>
                <w:b w:val="0"/>
                <w:bCs w:val="0"/>
                <w:sz w:val="21"/>
                <w:szCs w:val="21"/>
                <w:lang w:val="en-US" w:eastAsia="zh-CN"/>
              </w:rPr>
              <w:t>t/a（0.0</w:t>
            </w:r>
            <w:r>
              <w:rPr>
                <w:rFonts w:hint="eastAsia" w:ascii="Times New Roman" w:hAnsi="Times New Roman" w:cs="Times New Roman"/>
                <w:b w:val="0"/>
                <w:bCs w:val="0"/>
                <w:sz w:val="21"/>
                <w:szCs w:val="21"/>
                <w:lang w:val="en-US" w:eastAsia="zh-CN"/>
              </w:rPr>
              <w:t>117</w:t>
            </w:r>
            <w:r>
              <w:rPr>
                <w:rFonts w:hint="default" w:ascii="Times New Roman" w:hAnsi="Times New Roman" w:cs="Times New Roman"/>
                <w:b w:val="0"/>
                <w:bCs w:val="0"/>
                <w:sz w:val="21"/>
                <w:szCs w:val="21"/>
                <w:lang w:val="en-US" w:eastAsia="zh-CN"/>
              </w:rPr>
              <w:t>kg/h）。</w:t>
            </w:r>
            <w:r>
              <w:rPr>
                <w:rFonts w:hint="eastAsia"/>
                <w:lang w:val="en-US" w:eastAsia="zh-CN"/>
              </w:rPr>
              <w:t>产排情况见下表</w:t>
            </w:r>
            <w:r>
              <w:rPr>
                <w:rFonts w:hint="default" w:ascii="Times New Roman" w:hAnsi="Times New Roman" w:cs="Times New Roman"/>
                <w:lang w:val="en-US" w:eastAsia="zh-CN"/>
              </w:rPr>
              <w:t>4-</w:t>
            </w:r>
            <w:r>
              <w:rPr>
                <w:rFonts w:hint="eastAsia" w:cs="Times New Roman"/>
                <w:lang w:val="en-US" w:eastAsia="zh-CN"/>
              </w:rPr>
              <w:t>2</w:t>
            </w:r>
            <w:r>
              <w:rPr>
                <w:rFonts w:hint="eastAsia"/>
                <w:lang w:val="en-US" w:eastAsia="zh-CN"/>
              </w:rPr>
              <w:t>。</w:t>
            </w:r>
          </w:p>
          <w:p w14:paraId="175C36A7">
            <w:pPr>
              <w:widowControl w:val="0"/>
              <w:wordWrap/>
              <w:adjustRightInd/>
              <w:snapToGrid/>
              <w:spacing w:line="360" w:lineRule="auto"/>
              <w:ind w:firstLine="0" w:firstLineChars="0"/>
              <w:jc w:val="center"/>
              <w:textAlignment w:val="auto"/>
              <w:rPr>
                <w:rFonts w:hint="default"/>
                <w:b/>
                <w:bCs/>
                <w:lang w:val="en-US" w:eastAsia="zh-CN"/>
              </w:rPr>
            </w:pPr>
            <w:r>
              <w:rPr>
                <w:rFonts w:hint="eastAsia" w:cs="Times New Roman"/>
                <w:b/>
                <w:bCs/>
                <w:lang w:val="en-US" w:eastAsia="zh-CN"/>
              </w:rPr>
              <w:t>表4-2  项目底漆打磨颗粒物产排情况一览表</w:t>
            </w:r>
          </w:p>
          <w:tbl>
            <w:tblPr>
              <w:tblStyle w:val="17"/>
              <w:tblW w:w="80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1"/>
              <w:gridCol w:w="1027"/>
              <w:gridCol w:w="1334"/>
              <w:gridCol w:w="1334"/>
              <w:gridCol w:w="1334"/>
              <w:gridCol w:w="1335"/>
            </w:tblGrid>
            <w:tr w14:paraId="749B1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51" w:type="dxa"/>
                  <w:tcBorders>
                    <w:tl2br w:val="nil"/>
                    <w:tr2bl w:val="nil"/>
                  </w:tcBorders>
                  <w:vAlign w:val="center"/>
                </w:tcPr>
                <w:p w14:paraId="6CCEBCE4">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排放</w:t>
                  </w:r>
                </w:p>
                <w:p w14:paraId="702F94FE">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类型</w:t>
                  </w:r>
                </w:p>
              </w:tc>
              <w:tc>
                <w:tcPr>
                  <w:tcW w:w="821" w:type="dxa"/>
                  <w:tcBorders>
                    <w:tl2br w:val="nil"/>
                    <w:tr2bl w:val="nil"/>
                  </w:tcBorders>
                  <w:vAlign w:val="center"/>
                </w:tcPr>
                <w:p w14:paraId="3AA3C739">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收集</w:t>
                  </w:r>
                </w:p>
                <w:p w14:paraId="493D0956">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效率</w:t>
                  </w:r>
                </w:p>
              </w:tc>
              <w:tc>
                <w:tcPr>
                  <w:tcW w:w="1027" w:type="dxa"/>
                  <w:tcBorders>
                    <w:tl2br w:val="nil"/>
                    <w:tr2bl w:val="nil"/>
                  </w:tcBorders>
                  <w:vAlign w:val="center"/>
                </w:tcPr>
                <w:p w14:paraId="28765FFB">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处理</w:t>
                  </w:r>
                </w:p>
                <w:p w14:paraId="3B8BDC08">
                  <w:pPr>
                    <w:pStyle w:val="15"/>
                    <w:widowControl/>
                    <w:wordWrap/>
                    <w:adjustRightInd/>
                    <w:snapToGrid w:val="0"/>
                    <w:spacing w:line="240" w:lineRule="auto"/>
                    <w:ind w:left="0" w:leftChars="0" w:firstLine="0" w:firstLineChars="0"/>
                    <w:jc w:val="center"/>
                    <w:textAlignment w:val="auto"/>
                    <w:rPr>
                      <w:rFonts w:hint="default"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效率</w:t>
                  </w:r>
                </w:p>
              </w:tc>
              <w:tc>
                <w:tcPr>
                  <w:tcW w:w="1334" w:type="dxa"/>
                  <w:tcBorders>
                    <w:tl2br w:val="nil"/>
                    <w:tr2bl w:val="nil"/>
                  </w:tcBorders>
                  <w:vAlign w:val="center"/>
                </w:tcPr>
                <w:p w14:paraId="3B18A6A0">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颗粒物</w:t>
                  </w:r>
                </w:p>
                <w:p w14:paraId="28FB51BE">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总</w:t>
                  </w:r>
                  <w:r>
                    <w:rPr>
                      <w:rFonts w:hint="default" w:ascii="Times New Roman" w:hAnsi="Times New Roman" w:eastAsia="宋体" w:cs="Times New Roman"/>
                      <w:b/>
                      <w:bCs/>
                      <w:sz w:val="18"/>
                      <w:szCs w:val="18"/>
                      <w:lang w:val="en-US" w:eastAsia="zh-CN"/>
                    </w:rPr>
                    <w:t>产生量t/a</w:t>
                  </w:r>
                </w:p>
              </w:tc>
              <w:tc>
                <w:tcPr>
                  <w:tcW w:w="1334" w:type="dxa"/>
                  <w:tcBorders>
                    <w:tl2br w:val="nil"/>
                    <w:tr2bl w:val="nil"/>
                  </w:tcBorders>
                  <w:vAlign w:val="center"/>
                </w:tcPr>
                <w:p w14:paraId="1674838C">
                  <w:pPr>
                    <w:pStyle w:val="15"/>
                    <w:widowControl/>
                    <w:wordWrap/>
                    <w:adjustRightInd/>
                    <w:snapToGrid w:val="0"/>
                    <w:spacing w:line="240" w:lineRule="auto"/>
                    <w:ind w:left="0" w:leftChars="0" w:firstLine="0" w:firstLineChars="0"/>
                    <w:jc w:val="center"/>
                    <w:textAlignment w:val="auto"/>
                    <w:rPr>
                      <w:rFonts w:hint="eastAsia"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处理量</w:t>
                  </w:r>
                </w:p>
                <w:p w14:paraId="0D31CC63">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t/a</w:t>
                  </w:r>
                </w:p>
              </w:tc>
              <w:tc>
                <w:tcPr>
                  <w:tcW w:w="1334" w:type="dxa"/>
                  <w:tcBorders>
                    <w:tl2br w:val="nil"/>
                    <w:tr2bl w:val="nil"/>
                  </w:tcBorders>
                  <w:vAlign w:val="center"/>
                </w:tcPr>
                <w:p w14:paraId="55A05B0B">
                  <w:pPr>
                    <w:pStyle w:val="15"/>
                    <w:widowControl/>
                    <w:wordWrap/>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排放量</w:t>
                  </w:r>
                </w:p>
                <w:p w14:paraId="66292907">
                  <w:pPr>
                    <w:pStyle w:val="15"/>
                    <w:widowControl/>
                    <w:wordWrap/>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t/a</w:t>
                  </w:r>
                </w:p>
              </w:tc>
              <w:tc>
                <w:tcPr>
                  <w:tcW w:w="1335" w:type="dxa"/>
                  <w:tcBorders>
                    <w:tl2br w:val="nil"/>
                    <w:tr2bl w:val="nil"/>
                  </w:tcBorders>
                  <w:vAlign w:val="center"/>
                </w:tcPr>
                <w:p w14:paraId="56DA390E">
                  <w:pPr>
                    <w:pStyle w:val="15"/>
                    <w:widowControl/>
                    <w:wordWrap/>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排放速率</w:t>
                  </w:r>
                  <w:r>
                    <w:rPr>
                      <w:rFonts w:hint="eastAsia" w:ascii="Times New Roman" w:hAnsi="Times New Roman" w:cs="Times New Roman"/>
                      <w:b/>
                      <w:bCs/>
                      <w:sz w:val="18"/>
                      <w:szCs w:val="18"/>
                      <w:lang w:val="en-US" w:eastAsia="zh-CN"/>
                    </w:rPr>
                    <w:t>（kg/h）</w:t>
                  </w:r>
                </w:p>
              </w:tc>
            </w:tr>
            <w:tr w14:paraId="0C4E5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1" w:type="dxa"/>
                  <w:tcBorders>
                    <w:tl2br w:val="nil"/>
                    <w:tr2bl w:val="nil"/>
                  </w:tcBorders>
                  <w:vAlign w:val="center"/>
                </w:tcPr>
                <w:p w14:paraId="72AD4391">
                  <w:pPr>
                    <w:pStyle w:val="15"/>
                    <w:widowControl/>
                    <w:wordWrap/>
                    <w:adjustRightInd/>
                    <w:snapToGrid w:val="0"/>
                    <w:spacing w:line="240" w:lineRule="auto"/>
                    <w:ind w:left="0" w:lef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无组织</w:t>
                  </w:r>
                </w:p>
              </w:tc>
              <w:tc>
                <w:tcPr>
                  <w:tcW w:w="821" w:type="dxa"/>
                  <w:tcBorders>
                    <w:tl2br w:val="nil"/>
                    <w:tr2bl w:val="nil"/>
                  </w:tcBorders>
                  <w:vAlign w:val="center"/>
                </w:tcPr>
                <w:p w14:paraId="15F59B1C">
                  <w:pPr>
                    <w:pStyle w:val="15"/>
                    <w:widowControl/>
                    <w:wordWrap/>
                    <w:adjustRightInd/>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70%</w:t>
                  </w:r>
                </w:p>
              </w:tc>
              <w:tc>
                <w:tcPr>
                  <w:tcW w:w="1027" w:type="dxa"/>
                  <w:tcBorders>
                    <w:tl2br w:val="nil"/>
                    <w:tr2bl w:val="nil"/>
                  </w:tcBorders>
                  <w:vAlign w:val="center"/>
                </w:tcPr>
                <w:p w14:paraId="5264AF46">
                  <w:pPr>
                    <w:pStyle w:val="15"/>
                    <w:widowControl/>
                    <w:wordWrap/>
                    <w:adjustRightInd/>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80%</w:t>
                  </w:r>
                </w:p>
              </w:tc>
              <w:tc>
                <w:tcPr>
                  <w:tcW w:w="1334" w:type="dxa"/>
                  <w:tcBorders>
                    <w:tl2br w:val="nil"/>
                    <w:tr2bl w:val="nil"/>
                  </w:tcBorders>
                  <w:vAlign w:val="center"/>
                </w:tcPr>
                <w:p w14:paraId="43872BE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0.164</w:t>
                  </w:r>
                </w:p>
              </w:tc>
              <w:tc>
                <w:tcPr>
                  <w:tcW w:w="1334" w:type="dxa"/>
                  <w:tcBorders>
                    <w:tl2br w:val="nil"/>
                    <w:tr2bl w:val="nil"/>
                  </w:tcBorders>
                  <w:vAlign w:val="center"/>
                </w:tcPr>
                <w:p w14:paraId="74135B3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0.0918</w:t>
                  </w:r>
                </w:p>
              </w:tc>
              <w:tc>
                <w:tcPr>
                  <w:tcW w:w="1334" w:type="dxa"/>
                  <w:tcBorders>
                    <w:tl2br w:val="nil"/>
                    <w:tr2bl w:val="nil"/>
                  </w:tcBorders>
                  <w:vAlign w:val="center"/>
                </w:tcPr>
                <w:p w14:paraId="1768504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0.0722</w:t>
                  </w:r>
                </w:p>
              </w:tc>
              <w:tc>
                <w:tcPr>
                  <w:tcW w:w="1335" w:type="dxa"/>
                  <w:tcBorders>
                    <w:tl2br w:val="nil"/>
                    <w:tr2bl w:val="nil"/>
                  </w:tcBorders>
                  <w:vAlign w:val="center"/>
                </w:tcPr>
                <w:p w14:paraId="2257B43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0.0301</w:t>
                  </w:r>
                </w:p>
              </w:tc>
            </w:tr>
          </w:tbl>
          <w:p w14:paraId="293BC296">
            <w:pPr>
              <w:pStyle w:val="15"/>
              <w:widowControl/>
              <w:wordWrap/>
              <w:adjustRightInd/>
              <w:snapToGrid w:val="0"/>
              <w:spacing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③</w:t>
            </w:r>
            <w:r>
              <w:rPr>
                <w:rFonts w:hint="eastAsia" w:ascii="Times New Roman" w:hAnsi="Times New Roman" w:cs="Times New Roman"/>
                <w:b/>
                <w:bCs/>
                <w:lang w:val="en-US" w:eastAsia="zh-CN"/>
              </w:rPr>
              <w:t>上底漆、上面漆、晾干等工序产生的颗粒物和有机废气</w:t>
            </w:r>
          </w:p>
          <w:p w14:paraId="7ABBDAB4">
            <w:pPr>
              <w:widowControl w:val="0"/>
              <w:wordWrap/>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本项目不设置单独调漆室，调漆、喷漆、晾干工作在</w:t>
            </w:r>
            <w:r>
              <w:rPr>
                <w:rFonts w:hint="eastAsia" w:cs="Times New Roman"/>
                <w:lang w:val="en-US" w:eastAsia="zh-CN"/>
              </w:rPr>
              <w:t>喷</w:t>
            </w:r>
            <w:r>
              <w:rPr>
                <w:rFonts w:hint="eastAsia" w:ascii="Times New Roman" w:hAnsi="Times New Roman" w:cs="Times New Roman"/>
                <w:lang w:val="en-US" w:eastAsia="zh-CN"/>
              </w:rPr>
              <w:t>漆房内完成，</w:t>
            </w:r>
            <w:r>
              <w:rPr>
                <w:rFonts w:hint="eastAsia" w:cs="Times New Roman"/>
                <w:lang w:val="en-US" w:eastAsia="zh-CN"/>
              </w:rPr>
              <w:t>喷</w:t>
            </w:r>
            <w:r>
              <w:rPr>
                <w:rFonts w:hint="eastAsia" w:ascii="Times New Roman" w:hAnsi="Times New Roman" w:cs="Times New Roman"/>
                <w:lang w:val="en-US" w:eastAsia="zh-CN"/>
              </w:rPr>
              <w:t>漆房设置采取全密闭设置，采用负压收集喷漆废气，基本无废气外溢。</w:t>
            </w:r>
          </w:p>
          <w:p w14:paraId="4D3B2AD8">
            <w:pPr>
              <w:widowControl w:val="0"/>
              <w:wordWrap/>
              <w:adjustRightInd/>
              <w:snapToGrid/>
              <w:spacing w:line="360" w:lineRule="auto"/>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涂装过程颗粒物产生源强参照《工业源产排污核算方法和系数手册-211木质家具制造行业》</w:t>
            </w:r>
            <w:r>
              <w:rPr>
                <w:rFonts w:hint="eastAsia" w:cs="Times New Roman"/>
                <w:lang w:val="en-US" w:eastAsia="zh-CN"/>
              </w:rPr>
              <w:t>，涂装过程颗粒物的产污系数为208克/公斤-涂料</w:t>
            </w:r>
          </w:p>
          <w:p w14:paraId="1842D699">
            <w:pPr>
              <w:widowControl w:val="0"/>
              <w:wordWrap/>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油漆中的可挥发溶剂和稀释剂不会附着在喷漆物表面，在喷漆及晾干过程中将全部释放形成有机废气，主要污染物为甲苯、二甲苯和挥发性有机物。根据“表2-4 项目主要原辅材料一览表”</w:t>
            </w:r>
            <w:r>
              <w:rPr>
                <w:rFonts w:hint="eastAsia" w:cs="Times New Roman"/>
                <w:lang w:val="en-US" w:eastAsia="zh-CN"/>
              </w:rPr>
              <w:t>和“表2-5 项目原辅材料规格及理化性质”</w:t>
            </w:r>
            <w:r>
              <w:rPr>
                <w:rFonts w:hint="eastAsia" w:ascii="Times New Roman" w:hAnsi="Times New Roman" w:cs="Times New Roman"/>
                <w:lang w:val="en-US" w:eastAsia="zh-CN"/>
              </w:rPr>
              <w:t>，项目使用底漆、面漆、稀释剂、固化剂中挥发性物料成分占比见下表：</w:t>
            </w:r>
          </w:p>
          <w:p w14:paraId="172A877F">
            <w:pPr>
              <w:widowControl w:val="0"/>
              <w:wordWrap/>
              <w:adjustRightInd/>
              <w:snapToGrid/>
              <w:spacing w:line="360" w:lineRule="auto"/>
              <w:ind w:left="0" w:leftChars="0" w:firstLine="0" w:firstLineChars="0"/>
              <w:jc w:val="center"/>
              <w:textAlignment w:val="auto"/>
              <w:rPr>
                <w:rFonts w:hint="default" w:ascii="Times New Roman" w:hAnsi="Times New Roman" w:cs="Times New Roman"/>
                <w:b/>
                <w:bCs/>
                <w:lang w:val="en-US" w:eastAsia="zh-CN"/>
              </w:rPr>
            </w:pPr>
            <w:r>
              <w:rPr>
                <w:rFonts w:hint="eastAsia" w:cs="Times New Roman"/>
                <w:b/>
                <w:bCs/>
                <w:lang w:val="en-US" w:eastAsia="zh-CN"/>
              </w:rPr>
              <w:t>表4-3  辅料挥发性成分占比</w:t>
            </w:r>
          </w:p>
          <w:tbl>
            <w:tblPr>
              <w:tblStyle w:val="17"/>
              <w:tblW w:w="7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73"/>
              <w:gridCol w:w="1200"/>
              <w:gridCol w:w="1173"/>
              <w:gridCol w:w="1173"/>
              <w:gridCol w:w="1175"/>
            </w:tblGrid>
            <w:tr w14:paraId="4A865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jc w:val="center"/>
              </w:trPr>
              <w:tc>
                <w:tcPr>
                  <w:tcW w:w="2373" w:type="dxa"/>
                  <w:tcBorders>
                    <w:tl2br w:val="nil"/>
                    <w:tr2bl w:val="nil"/>
                  </w:tcBorders>
                  <w:shd w:val="clear" w:color="auto" w:fill="auto"/>
                  <w:noWrap/>
                  <w:vAlign w:val="center"/>
                </w:tcPr>
                <w:p w14:paraId="4EC23A2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挥发性成分%</w:t>
                  </w:r>
                </w:p>
              </w:tc>
              <w:tc>
                <w:tcPr>
                  <w:tcW w:w="1200" w:type="dxa"/>
                  <w:tcBorders>
                    <w:tl2br w:val="nil"/>
                    <w:tr2bl w:val="nil"/>
                  </w:tcBorders>
                  <w:shd w:val="clear" w:color="auto" w:fill="auto"/>
                  <w:noWrap/>
                  <w:vAlign w:val="center"/>
                </w:tcPr>
                <w:p w14:paraId="78E780D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底漆</w:t>
                  </w:r>
                </w:p>
              </w:tc>
              <w:tc>
                <w:tcPr>
                  <w:tcW w:w="1173" w:type="dxa"/>
                  <w:tcBorders>
                    <w:tl2br w:val="nil"/>
                    <w:tr2bl w:val="nil"/>
                  </w:tcBorders>
                  <w:shd w:val="clear" w:color="auto" w:fill="auto"/>
                  <w:noWrap/>
                  <w:vAlign w:val="center"/>
                </w:tcPr>
                <w:p w14:paraId="1636388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面漆</w:t>
                  </w:r>
                </w:p>
              </w:tc>
              <w:tc>
                <w:tcPr>
                  <w:tcW w:w="1173" w:type="dxa"/>
                  <w:tcBorders>
                    <w:tl2br w:val="nil"/>
                    <w:tr2bl w:val="nil"/>
                  </w:tcBorders>
                  <w:shd w:val="clear" w:color="auto" w:fill="auto"/>
                  <w:noWrap/>
                  <w:vAlign w:val="center"/>
                </w:tcPr>
                <w:p w14:paraId="4FC7330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稀释剂</w:t>
                  </w:r>
                </w:p>
              </w:tc>
              <w:tc>
                <w:tcPr>
                  <w:tcW w:w="1175" w:type="dxa"/>
                  <w:tcBorders>
                    <w:tl2br w:val="nil"/>
                    <w:tr2bl w:val="nil"/>
                  </w:tcBorders>
                  <w:shd w:val="clear" w:color="auto" w:fill="auto"/>
                  <w:noWrap/>
                  <w:vAlign w:val="center"/>
                </w:tcPr>
                <w:p w14:paraId="464ECE2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固化剂</w:t>
                  </w:r>
                </w:p>
              </w:tc>
            </w:tr>
            <w:tr w14:paraId="77E48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3" w:type="dxa"/>
                  <w:tcBorders>
                    <w:tl2br w:val="nil"/>
                    <w:tr2bl w:val="nil"/>
                  </w:tcBorders>
                  <w:shd w:val="clear" w:color="auto" w:fill="auto"/>
                  <w:noWrap/>
                  <w:vAlign w:val="center"/>
                </w:tcPr>
                <w:p w14:paraId="25AD8D1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非甲烷总烃</w:t>
                  </w:r>
                </w:p>
              </w:tc>
              <w:tc>
                <w:tcPr>
                  <w:tcW w:w="1200" w:type="dxa"/>
                  <w:tcBorders>
                    <w:tl2br w:val="nil"/>
                    <w:tr2bl w:val="nil"/>
                  </w:tcBorders>
                  <w:shd w:val="clear" w:color="auto" w:fill="auto"/>
                  <w:noWrap/>
                  <w:vAlign w:val="center"/>
                </w:tcPr>
                <w:p w14:paraId="05C8074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173" w:type="dxa"/>
                  <w:tcBorders>
                    <w:tl2br w:val="nil"/>
                    <w:tr2bl w:val="nil"/>
                  </w:tcBorders>
                  <w:shd w:val="clear" w:color="auto" w:fill="auto"/>
                  <w:noWrap/>
                  <w:vAlign w:val="center"/>
                </w:tcPr>
                <w:p w14:paraId="67DF297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73" w:type="dxa"/>
                  <w:tcBorders>
                    <w:tl2br w:val="nil"/>
                    <w:tr2bl w:val="nil"/>
                  </w:tcBorders>
                  <w:shd w:val="clear" w:color="auto" w:fill="auto"/>
                  <w:noWrap/>
                  <w:vAlign w:val="center"/>
                </w:tcPr>
                <w:p w14:paraId="3622450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175" w:type="dxa"/>
                  <w:tcBorders>
                    <w:tl2br w:val="nil"/>
                    <w:tr2bl w:val="nil"/>
                  </w:tcBorders>
                  <w:shd w:val="clear" w:color="auto" w:fill="auto"/>
                  <w:noWrap/>
                  <w:vAlign w:val="center"/>
                </w:tcPr>
                <w:p w14:paraId="7017A2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B843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3" w:type="dxa"/>
                  <w:tcBorders>
                    <w:tl2br w:val="nil"/>
                    <w:tr2bl w:val="nil"/>
                  </w:tcBorders>
                  <w:shd w:val="clear" w:color="auto" w:fill="auto"/>
                  <w:noWrap/>
                  <w:vAlign w:val="center"/>
                </w:tcPr>
                <w:p w14:paraId="0470CCC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甲苯</w:t>
                  </w:r>
                </w:p>
              </w:tc>
              <w:tc>
                <w:tcPr>
                  <w:tcW w:w="1200" w:type="dxa"/>
                  <w:tcBorders>
                    <w:tl2br w:val="nil"/>
                    <w:tr2bl w:val="nil"/>
                  </w:tcBorders>
                  <w:shd w:val="clear" w:color="auto" w:fill="auto"/>
                  <w:noWrap/>
                  <w:vAlign w:val="center"/>
                </w:tcPr>
                <w:p w14:paraId="0CF7F6C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73" w:type="dxa"/>
                  <w:tcBorders>
                    <w:tl2br w:val="nil"/>
                    <w:tr2bl w:val="nil"/>
                  </w:tcBorders>
                  <w:shd w:val="clear" w:color="auto" w:fill="auto"/>
                  <w:noWrap/>
                  <w:vAlign w:val="center"/>
                </w:tcPr>
                <w:p w14:paraId="2CEB020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73" w:type="dxa"/>
                  <w:tcBorders>
                    <w:tl2br w:val="nil"/>
                    <w:tr2bl w:val="nil"/>
                  </w:tcBorders>
                  <w:shd w:val="clear" w:color="auto" w:fill="auto"/>
                  <w:noWrap/>
                  <w:vAlign w:val="center"/>
                </w:tcPr>
                <w:p w14:paraId="4169526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75" w:type="dxa"/>
                  <w:tcBorders>
                    <w:tl2br w:val="nil"/>
                    <w:tr2bl w:val="nil"/>
                  </w:tcBorders>
                  <w:shd w:val="clear" w:color="auto" w:fill="auto"/>
                  <w:noWrap/>
                  <w:vAlign w:val="center"/>
                </w:tcPr>
                <w:p w14:paraId="77D229F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5FB94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3" w:type="dxa"/>
                  <w:tcBorders>
                    <w:tl2br w:val="nil"/>
                    <w:tr2bl w:val="nil"/>
                  </w:tcBorders>
                  <w:shd w:val="clear" w:color="auto" w:fill="auto"/>
                  <w:noWrap/>
                  <w:vAlign w:val="center"/>
                </w:tcPr>
                <w:p w14:paraId="708B4FB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二甲苯</w:t>
                  </w:r>
                </w:p>
              </w:tc>
              <w:tc>
                <w:tcPr>
                  <w:tcW w:w="1200" w:type="dxa"/>
                  <w:tcBorders>
                    <w:tl2br w:val="nil"/>
                    <w:tr2bl w:val="nil"/>
                  </w:tcBorders>
                  <w:shd w:val="clear" w:color="auto" w:fill="auto"/>
                  <w:noWrap/>
                  <w:vAlign w:val="center"/>
                </w:tcPr>
                <w:p w14:paraId="15FC2DF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73" w:type="dxa"/>
                  <w:tcBorders>
                    <w:tl2br w:val="nil"/>
                    <w:tr2bl w:val="nil"/>
                  </w:tcBorders>
                  <w:shd w:val="clear" w:color="auto" w:fill="auto"/>
                  <w:noWrap/>
                  <w:vAlign w:val="center"/>
                </w:tcPr>
                <w:p w14:paraId="66DD494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73" w:type="dxa"/>
                  <w:tcBorders>
                    <w:tl2br w:val="nil"/>
                    <w:tr2bl w:val="nil"/>
                  </w:tcBorders>
                  <w:shd w:val="clear" w:color="auto" w:fill="auto"/>
                  <w:noWrap/>
                  <w:vAlign w:val="center"/>
                </w:tcPr>
                <w:p w14:paraId="7ED793F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175" w:type="dxa"/>
                  <w:tcBorders>
                    <w:tl2br w:val="nil"/>
                    <w:tr2bl w:val="nil"/>
                  </w:tcBorders>
                  <w:shd w:val="clear" w:color="auto" w:fill="auto"/>
                  <w:noWrap/>
                  <w:vAlign w:val="center"/>
                </w:tcPr>
                <w:p w14:paraId="4198689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5749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3" w:type="dxa"/>
                  <w:tcBorders>
                    <w:tl2br w:val="nil"/>
                    <w:tr2bl w:val="nil"/>
                  </w:tcBorders>
                  <w:shd w:val="clear" w:color="auto" w:fill="auto"/>
                  <w:noWrap/>
                  <w:vAlign w:val="center"/>
                </w:tcPr>
                <w:p w14:paraId="66DD2A8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乙酸乙酯和乙酸丁酯</w:t>
                  </w:r>
                  <w:r>
                    <w:rPr>
                      <w:rFonts w:hint="eastAsia" w:ascii="Times New Roman" w:hAnsi="Times New Roman" w:eastAsia="宋体" w:cs="Times New Roman"/>
                      <w:i w:val="0"/>
                      <w:iCs w:val="0"/>
                      <w:color w:val="000000"/>
                      <w:kern w:val="0"/>
                      <w:sz w:val="18"/>
                      <w:szCs w:val="18"/>
                      <w:u w:val="none"/>
                      <w:lang w:val="en-US" w:eastAsia="zh-CN" w:bidi="ar"/>
                    </w:rPr>
                    <w:t>合计</w:t>
                  </w:r>
                </w:p>
              </w:tc>
              <w:tc>
                <w:tcPr>
                  <w:tcW w:w="1200" w:type="dxa"/>
                  <w:tcBorders>
                    <w:tl2br w:val="nil"/>
                    <w:tr2bl w:val="nil"/>
                  </w:tcBorders>
                  <w:shd w:val="clear" w:color="auto" w:fill="auto"/>
                  <w:noWrap/>
                  <w:vAlign w:val="center"/>
                </w:tcPr>
                <w:p w14:paraId="0443234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173" w:type="dxa"/>
                  <w:tcBorders>
                    <w:tl2br w:val="nil"/>
                    <w:tr2bl w:val="nil"/>
                  </w:tcBorders>
                  <w:shd w:val="clear" w:color="auto" w:fill="auto"/>
                  <w:noWrap/>
                  <w:vAlign w:val="center"/>
                </w:tcPr>
                <w:p w14:paraId="6DD27D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173" w:type="dxa"/>
                  <w:tcBorders>
                    <w:tl2br w:val="nil"/>
                    <w:tr2bl w:val="nil"/>
                  </w:tcBorders>
                  <w:shd w:val="clear" w:color="auto" w:fill="auto"/>
                  <w:noWrap/>
                  <w:vAlign w:val="center"/>
                </w:tcPr>
                <w:p w14:paraId="594CEF2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175" w:type="dxa"/>
                  <w:tcBorders>
                    <w:tl2br w:val="nil"/>
                    <w:tr2bl w:val="nil"/>
                  </w:tcBorders>
                  <w:shd w:val="clear" w:color="auto" w:fill="auto"/>
                  <w:noWrap/>
                  <w:vAlign w:val="center"/>
                </w:tcPr>
                <w:p w14:paraId="6064FCF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bl>
          <w:p w14:paraId="6F1D6625">
            <w:pPr>
              <w:widowControl w:val="0"/>
              <w:wordWrap/>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项目有机废气采用“水帘+喷淋塔+</w:t>
            </w:r>
            <w:r>
              <w:rPr>
                <w:rFonts w:hint="eastAsia" w:cs="Times New Roman"/>
                <w:lang w:val="en-US" w:eastAsia="zh-CN"/>
              </w:rPr>
              <w:t>活性炭吸附</w:t>
            </w:r>
            <w:r>
              <w:rPr>
                <w:rFonts w:hint="eastAsia" w:ascii="Times New Roman" w:hAnsi="Times New Roman" w:cs="Times New Roman"/>
                <w:lang w:val="en-US" w:eastAsia="zh-CN"/>
              </w:rPr>
              <w:t>”装置进行处理，处理后通过1根15m高排气筒</w:t>
            </w:r>
            <w:r>
              <w:rPr>
                <w:rFonts w:hint="eastAsia" w:cs="Times New Roman"/>
                <w:lang w:val="en-US" w:eastAsia="zh-CN"/>
              </w:rPr>
              <w:t>（DA001）</w:t>
            </w:r>
            <w:r>
              <w:rPr>
                <w:rFonts w:hint="eastAsia" w:ascii="Times New Roman" w:hAnsi="Times New Roman" w:cs="Times New Roman"/>
                <w:lang w:val="en-US" w:eastAsia="zh-CN"/>
              </w:rPr>
              <w:t>排放。</w:t>
            </w:r>
          </w:p>
          <w:p w14:paraId="339ECC3C">
            <w:pPr>
              <w:widowControl w:val="0"/>
              <w:wordWrap/>
              <w:adjustRightInd/>
              <w:snapToGrid/>
              <w:spacing w:line="360" w:lineRule="auto"/>
              <w:textAlignment w:val="auto"/>
              <w:rPr>
                <w:rFonts w:hint="eastAsia" w:ascii="Times New Roman" w:hAnsi="Times New Roman" w:cs="Times New Roman"/>
                <w:lang w:val="en-US" w:eastAsia="zh-CN"/>
              </w:rPr>
            </w:pPr>
            <w:r>
              <w:rPr>
                <w:rFonts w:hint="eastAsia" w:cs="Times New Roman"/>
                <w:lang w:val="en-US" w:eastAsia="zh-CN"/>
              </w:rPr>
              <w:t>喷漆房</w:t>
            </w:r>
            <w:r>
              <w:rPr>
                <w:rFonts w:hint="eastAsia" w:ascii="Times New Roman" w:hAnsi="Times New Roman" w:cs="Times New Roman"/>
                <w:lang w:val="en-US" w:eastAsia="zh-CN"/>
              </w:rPr>
              <w:t>采用负压收集，基本无废气外溢，考虑人员及工件进出时的短期逸散损失，参考《上海市工业企业挥发性有机物排放量通用计算方法》采用封闭式负压排放集气效率取值 95%。采用“水帘+喷淋塔+活性炭吸附”处理措施，风机设计风量为</w:t>
            </w:r>
            <w:r>
              <w:rPr>
                <w:rFonts w:hint="eastAsia" w:cs="Times New Roman"/>
                <w:lang w:val="en-US" w:eastAsia="zh-CN"/>
              </w:rPr>
              <w:t>1</w:t>
            </w:r>
            <w:r>
              <w:rPr>
                <w:rFonts w:hint="eastAsia" w:ascii="Times New Roman" w:hAnsi="Times New Roman" w:cs="Times New Roman"/>
                <w:lang w:val="en-US" w:eastAsia="zh-CN"/>
              </w:rPr>
              <w:t>5000m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/h，颗粒物处理效率可达80%，活性炭吸附去除效率取80%。</w:t>
            </w:r>
            <w:r>
              <w:rPr>
                <w:rFonts w:hint="eastAsia"/>
                <w:lang w:val="en-US" w:eastAsia="zh-CN"/>
              </w:rPr>
              <w:t>产排情况见下表</w:t>
            </w:r>
            <w:r>
              <w:rPr>
                <w:rFonts w:hint="default" w:ascii="Times New Roman" w:hAnsi="Times New Roman" w:cs="Times New Roman"/>
                <w:lang w:val="en-US" w:eastAsia="zh-CN"/>
              </w:rPr>
              <w:t>4-</w:t>
            </w:r>
            <w:r>
              <w:rPr>
                <w:rFonts w:hint="eastAsia" w:cs="Times New Roman"/>
                <w:lang w:val="en-US" w:eastAsia="zh-CN"/>
              </w:rPr>
              <w:t>4</w:t>
            </w:r>
            <w:r>
              <w:rPr>
                <w:rFonts w:hint="eastAsia"/>
                <w:lang w:val="en-US" w:eastAsia="zh-CN"/>
              </w:rPr>
              <w:t>。</w:t>
            </w:r>
          </w:p>
          <w:p w14:paraId="7B0F8424">
            <w:pPr>
              <w:spacing w:line="360" w:lineRule="auto"/>
              <w:jc w:val="center"/>
              <w:rPr>
                <w:rFonts w:hint="default"/>
                <w:b/>
                <w:bCs/>
                <w:lang w:val="en-US" w:eastAsia="zh-CN"/>
              </w:rPr>
            </w:pPr>
            <w:r>
              <w:rPr>
                <w:rFonts w:hint="eastAsia" w:cs="Times New Roman"/>
                <w:b/>
                <w:bCs/>
                <w:lang w:val="en-US" w:eastAsia="zh-CN"/>
              </w:rPr>
              <w:t>表4-4  项目上漆晾干废气产排情况一览表</w:t>
            </w:r>
          </w:p>
          <w:tbl>
            <w:tblPr>
              <w:tblStyle w:val="17"/>
              <w:tblW w:w="44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78"/>
              <w:gridCol w:w="675"/>
              <w:gridCol w:w="497"/>
              <w:gridCol w:w="666"/>
              <w:gridCol w:w="636"/>
              <w:gridCol w:w="648"/>
              <w:gridCol w:w="798"/>
              <w:gridCol w:w="619"/>
              <w:gridCol w:w="789"/>
              <w:gridCol w:w="809"/>
            </w:tblGrid>
            <w:tr w14:paraId="4A5C3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493" w:hRule="atLeast"/>
                <w:jc w:val="center"/>
              </w:trPr>
              <w:tc>
                <w:tcPr>
                  <w:tcW w:w="861" w:type="pct"/>
                  <w:vMerge w:val="restart"/>
                  <w:tcBorders>
                    <w:tl2br w:val="nil"/>
                    <w:tr2bl w:val="nil"/>
                  </w:tcBorders>
                  <w:shd w:val="clear" w:color="auto" w:fill="auto"/>
                  <w:noWrap/>
                  <w:tcMar>
                    <w:top w:w="0" w:type="dxa"/>
                    <w:left w:w="0" w:type="dxa"/>
                    <w:bottom w:w="0" w:type="dxa"/>
                    <w:right w:w="0" w:type="dxa"/>
                  </w:tcMar>
                  <w:vAlign w:val="center"/>
                </w:tcPr>
                <w:p w14:paraId="7F526C8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污染因子</w:t>
                  </w:r>
                </w:p>
              </w:tc>
              <w:tc>
                <w:tcPr>
                  <w:tcW w:w="455" w:type="pct"/>
                  <w:vMerge w:val="restart"/>
                  <w:tcBorders>
                    <w:tl2br w:val="nil"/>
                    <w:tr2bl w:val="nil"/>
                  </w:tcBorders>
                  <w:shd w:val="clear" w:color="auto" w:fill="auto"/>
                  <w:noWrap/>
                  <w:tcMar>
                    <w:top w:w="0" w:type="dxa"/>
                    <w:left w:w="0" w:type="dxa"/>
                    <w:bottom w:w="0" w:type="dxa"/>
                    <w:right w:w="0" w:type="dxa"/>
                  </w:tcMar>
                  <w:vAlign w:val="center"/>
                </w:tcPr>
                <w:p w14:paraId="6023CB6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污产生</w:t>
                  </w:r>
                </w:p>
                <w:p w14:paraId="527F8B3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量t/a</w:t>
                  </w:r>
                </w:p>
              </w:tc>
              <w:tc>
                <w:tcPr>
                  <w:tcW w:w="335" w:type="pct"/>
                  <w:vMerge w:val="restart"/>
                  <w:tcBorders>
                    <w:tl2br w:val="nil"/>
                    <w:tr2bl w:val="nil"/>
                  </w:tcBorders>
                  <w:shd w:val="clear" w:color="auto" w:fill="auto"/>
                  <w:noWrap/>
                  <w:tcMar>
                    <w:top w:w="0" w:type="dxa"/>
                    <w:left w:w="0" w:type="dxa"/>
                    <w:bottom w:w="0" w:type="dxa"/>
                    <w:right w:w="0" w:type="dxa"/>
                  </w:tcMar>
                  <w:vAlign w:val="center"/>
                </w:tcPr>
                <w:p w14:paraId="399C51D3">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收集</w:t>
                  </w:r>
                </w:p>
                <w:p w14:paraId="47877EA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率</w:t>
                  </w:r>
                  <w:r>
                    <w:rPr>
                      <w:rStyle w:val="53"/>
                      <w:rFonts w:hint="default" w:ascii="Times New Roman" w:hAnsi="Times New Roman" w:eastAsia="宋体" w:cs="Times New Roman"/>
                      <w:b/>
                      <w:bCs/>
                      <w:sz w:val="18"/>
                      <w:szCs w:val="18"/>
                      <w:lang w:val="en-US" w:eastAsia="zh-CN" w:bidi="ar"/>
                    </w:rPr>
                    <w:t>%</w:t>
                  </w:r>
                </w:p>
              </w:tc>
              <w:tc>
                <w:tcPr>
                  <w:tcW w:w="449" w:type="pct"/>
                  <w:vMerge w:val="restart"/>
                  <w:tcBorders>
                    <w:tl2br w:val="nil"/>
                    <w:tr2bl w:val="nil"/>
                  </w:tcBorders>
                  <w:shd w:val="clear" w:color="auto" w:fill="auto"/>
                  <w:noWrap/>
                  <w:tcMar>
                    <w:top w:w="0" w:type="dxa"/>
                    <w:left w:w="0" w:type="dxa"/>
                    <w:bottom w:w="0" w:type="dxa"/>
                    <w:right w:w="0" w:type="dxa"/>
                  </w:tcMar>
                  <w:vAlign w:val="center"/>
                </w:tcPr>
                <w:p w14:paraId="66F00791">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处理</w:t>
                  </w:r>
                </w:p>
                <w:p w14:paraId="411F2F2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效率</w:t>
                  </w:r>
                  <w:r>
                    <w:rPr>
                      <w:rStyle w:val="53"/>
                      <w:rFonts w:hint="default" w:ascii="Times New Roman" w:hAnsi="Times New Roman" w:eastAsia="宋体" w:cs="Times New Roman"/>
                      <w:b/>
                      <w:bCs/>
                      <w:sz w:val="18"/>
                      <w:szCs w:val="18"/>
                      <w:lang w:val="en-US" w:eastAsia="zh-CN" w:bidi="ar"/>
                    </w:rPr>
                    <w:t>%</w:t>
                  </w:r>
                </w:p>
              </w:tc>
              <w:tc>
                <w:tcPr>
                  <w:tcW w:w="428" w:type="pct"/>
                  <w:vMerge w:val="restart"/>
                  <w:tcBorders>
                    <w:tl2br w:val="nil"/>
                    <w:tr2bl w:val="nil"/>
                  </w:tcBorders>
                  <w:shd w:val="clear" w:color="auto" w:fill="auto"/>
                  <w:noWrap/>
                  <w:tcMar>
                    <w:top w:w="0" w:type="dxa"/>
                    <w:left w:w="0" w:type="dxa"/>
                    <w:bottom w:w="0" w:type="dxa"/>
                    <w:right w:w="0" w:type="dxa"/>
                  </w:tcMar>
                  <w:vAlign w:val="center"/>
                </w:tcPr>
                <w:p w14:paraId="3176204B">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处理</w:t>
                  </w:r>
                </w:p>
                <w:p w14:paraId="22DD661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量</w:t>
                  </w:r>
                  <w:r>
                    <w:rPr>
                      <w:rStyle w:val="53"/>
                      <w:rFonts w:hint="default" w:ascii="Times New Roman" w:hAnsi="Times New Roman" w:eastAsia="宋体" w:cs="Times New Roman"/>
                      <w:b/>
                      <w:bCs/>
                      <w:sz w:val="18"/>
                      <w:szCs w:val="18"/>
                      <w:lang w:val="en-US" w:eastAsia="zh-CN" w:bidi="ar"/>
                    </w:rPr>
                    <w:t>t/a</w:t>
                  </w:r>
                </w:p>
              </w:tc>
              <w:tc>
                <w:tcPr>
                  <w:tcW w:w="975" w:type="pct"/>
                  <w:gridSpan w:val="2"/>
                  <w:tcBorders>
                    <w:tl2br w:val="nil"/>
                    <w:tr2bl w:val="nil"/>
                  </w:tcBorders>
                  <w:shd w:val="clear" w:color="auto" w:fill="auto"/>
                  <w:noWrap/>
                  <w:tcMar>
                    <w:top w:w="0" w:type="dxa"/>
                    <w:left w:w="0" w:type="dxa"/>
                    <w:bottom w:w="0" w:type="dxa"/>
                    <w:right w:w="0" w:type="dxa"/>
                  </w:tcMar>
                  <w:vAlign w:val="center"/>
                </w:tcPr>
                <w:p w14:paraId="7CD9EB7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无组织排放情况</w:t>
                  </w:r>
                </w:p>
              </w:tc>
              <w:tc>
                <w:tcPr>
                  <w:tcW w:w="1494" w:type="pct"/>
                  <w:gridSpan w:val="3"/>
                  <w:tcBorders>
                    <w:tl2br w:val="nil"/>
                    <w:tr2bl w:val="nil"/>
                  </w:tcBorders>
                  <w:shd w:val="clear" w:color="auto" w:fill="auto"/>
                  <w:noWrap/>
                  <w:tcMar>
                    <w:top w:w="0" w:type="dxa"/>
                    <w:left w:w="0" w:type="dxa"/>
                    <w:bottom w:w="0" w:type="dxa"/>
                    <w:right w:w="0" w:type="dxa"/>
                  </w:tcMar>
                  <w:vAlign w:val="center"/>
                </w:tcPr>
                <w:p w14:paraId="2ECF207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有组织排放情况</w:t>
                  </w:r>
                </w:p>
              </w:tc>
            </w:tr>
            <w:tr w14:paraId="64647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3" w:hRule="atLeast"/>
                <w:jc w:val="center"/>
              </w:trPr>
              <w:tc>
                <w:tcPr>
                  <w:tcW w:w="861" w:type="pct"/>
                  <w:vMerge w:val="continue"/>
                  <w:tcBorders>
                    <w:tl2br w:val="nil"/>
                    <w:tr2bl w:val="nil"/>
                  </w:tcBorders>
                  <w:shd w:val="clear" w:color="auto" w:fill="auto"/>
                  <w:noWrap/>
                  <w:tcMar>
                    <w:top w:w="0" w:type="dxa"/>
                    <w:left w:w="0" w:type="dxa"/>
                    <w:bottom w:w="0" w:type="dxa"/>
                    <w:right w:w="0" w:type="dxa"/>
                  </w:tcMar>
                  <w:vAlign w:val="center"/>
                </w:tcPr>
                <w:p w14:paraId="4163BBFE">
                  <w:pPr>
                    <w:jc w:val="center"/>
                    <w:rPr>
                      <w:rFonts w:hint="default" w:ascii="Times New Roman" w:hAnsi="Times New Roman" w:eastAsia="宋体" w:cs="Times New Roman"/>
                      <w:b/>
                      <w:bCs/>
                      <w:i w:val="0"/>
                      <w:iCs w:val="0"/>
                      <w:color w:val="000000"/>
                      <w:sz w:val="18"/>
                      <w:szCs w:val="18"/>
                      <w:u w:val="none"/>
                    </w:rPr>
                  </w:pPr>
                </w:p>
              </w:tc>
              <w:tc>
                <w:tcPr>
                  <w:tcW w:w="455" w:type="pct"/>
                  <w:vMerge w:val="continue"/>
                  <w:tcBorders>
                    <w:tl2br w:val="nil"/>
                    <w:tr2bl w:val="nil"/>
                  </w:tcBorders>
                  <w:shd w:val="clear" w:color="auto" w:fill="auto"/>
                  <w:noWrap/>
                  <w:tcMar>
                    <w:top w:w="0" w:type="dxa"/>
                    <w:left w:w="0" w:type="dxa"/>
                    <w:bottom w:w="0" w:type="dxa"/>
                    <w:right w:w="0" w:type="dxa"/>
                  </w:tcMar>
                  <w:vAlign w:val="center"/>
                </w:tcPr>
                <w:p w14:paraId="22905FE6">
                  <w:pPr>
                    <w:jc w:val="center"/>
                    <w:rPr>
                      <w:rFonts w:hint="default" w:ascii="Times New Roman" w:hAnsi="Times New Roman" w:eastAsia="宋体" w:cs="Times New Roman"/>
                      <w:b/>
                      <w:bCs/>
                      <w:i w:val="0"/>
                      <w:iCs w:val="0"/>
                      <w:color w:val="000000"/>
                      <w:sz w:val="18"/>
                      <w:szCs w:val="18"/>
                      <w:u w:val="none"/>
                    </w:rPr>
                  </w:pPr>
                </w:p>
              </w:tc>
              <w:tc>
                <w:tcPr>
                  <w:tcW w:w="335" w:type="pct"/>
                  <w:vMerge w:val="continue"/>
                  <w:tcBorders>
                    <w:tl2br w:val="nil"/>
                    <w:tr2bl w:val="nil"/>
                  </w:tcBorders>
                  <w:shd w:val="clear" w:color="auto" w:fill="auto"/>
                  <w:noWrap/>
                  <w:tcMar>
                    <w:top w:w="0" w:type="dxa"/>
                    <w:left w:w="0" w:type="dxa"/>
                    <w:bottom w:w="0" w:type="dxa"/>
                    <w:right w:w="0" w:type="dxa"/>
                  </w:tcMar>
                  <w:vAlign w:val="center"/>
                </w:tcPr>
                <w:p w14:paraId="5F60B128">
                  <w:pPr>
                    <w:jc w:val="center"/>
                    <w:rPr>
                      <w:rFonts w:hint="default" w:ascii="Times New Roman" w:hAnsi="Times New Roman" w:eastAsia="宋体" w:cs="Times New Roman"/>
                      <w:b/>
                      <w:bCs/>
                      <w:i w:val="0"/>
                      <w:iCs w:val="0"/>
                      <w:color w:val="000000"/>
                      <w:sz w:val="18"/>
                      <w:szCs w:val="18"/>
                      <w:u w:val="none"/>
                    </w:rPr>
                  </w:pPr>
                </w:p>
              </w:tc>
              <w:tc>
                <w:tcPr>
                  <w:tcW w:w="449" w:type="pct"/>
                  <w:vMerge w:val="continue"/>
                  <w:tcBorders>
                    <w:tl2br w:val="nil"/>
                    <w:tr2bl w:val="nil"/>
                  </w:tcBorders>
                  <w:shd w:val="clear" w:color="auto" w:fill="auto"/>
                  <w:noWrap/>
                  <w:tcMar>
                    <w:top w:w="0" w:type="dxa"/>
                    <w:left w:w="0" w:type="dxa"/>
                    <w:bottom w:w="0" w:type="dxa"/>
                    <w:right w:w="0" w:type="dxa"/>
                  </w:tcMar>
                  <w:vAlign w:val="center"/>
                </w:tcPr>
                <w:p w14:paraId="48E6D7F7">
                  <w:pPr>
                    <w:jc w:val="center"/>
                    <w:rPr>
                      <w:rFonts w:hint="default" w:ascii="Times New Roman" w:hAnsi="Times New Roman" w:eastAsia="宋体" w:cs="Times New Roman"/>
                      <w:b/>
                      <w:bCs/>
                      <w:i w:val="0"/>
                      <w:iCs w:val="0"/>
                      <w:color w:val="000000"/>
                      <w:sz w:val="18"/>
                      <w:szCs w:val="18"/>
                      <w:u w:val="none"/>
                    </w:rPr>
                  </w:pPr>
                </w:p>
              </w:tc>
              <w:tc>
                <w:tcPr>
                  <w:tcW w:w="428" w:type="pct"/>
                  <w:vMerge w:val="continue"/>
                  <w:tcBorders>
                    <w:tl2br w:val="nil"/>
                    <w:tr2bl w:val="nil"/>
                  </w:tcBorders>
                  <w:shd w:val="clear" w:color="auto" w:fill="auto"/>
                  <w:noWrap/>
                  <w:tcMar>
                    <w:top w:w="0" w:type="dxa"/>
                    <w:left w:w="0" w:type="dxa"/>
                    <w:bottom w:w="0" w:type="dxa"/>
                    <w:right w:w="0" w:type="dxa"/>
                  </w:tcMar>
                  <w:vAlign w:val="center"/>
                </w:tcPr>
                <w:p w14:paraId="16E15848">
                  <w:pPr>
                    <w:jc w:val="center"/>
                    <w:rPr>
                      <w:rFonts w:hint="default" w:ascii="Times New Roman" w:hAnsi="Times New Roman" w:eastAsia="宋体" w:cs="Times New Roman"/>
                      <w:b/>
                      <w:bCs/>
                      <w:i w:val="0"/>
                      <w:iCs w:val="0"/>
                      <w:color w:val="000000"/>
                      <w:sz w:val="18"/>
                      <w:szCs w:val="18"/>
                      <w:u w:val="none"/>
                    </w:rPr>
                  </w:pPr>
                </w:p>
              </w:tc>
              <w:tc>
                <w:tcPr>
                  <w:tcW w:w="436" w:type="pct"/>
                  <w:tcBorders>
                    <w:tl2br w:val="nil"/>
                    <w:tr2bl w:val="nil"/>
                  </w:tcBorders>
                  <w:shd w:val="clear" w:color="auto" w:fill="auto"/>
                  <w:noWrap/>
                  <w:tcMar>
                    <w:top w:w="0" w:type="dxa"/>
                    <w:left w:w="0" w:type="dxa"/>
                    <w:bottom w:w="0" w:type="dxa"/>
                    <w:right w:w="0" w:type="dxa"/>
                  </w:tcMar>
                  <w:vAlign w:val="center"/>
                </w:tcPr>
                <w:p w14:paraId="2C64ACC8">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排放量</w:t>
                  </w:r>
                </w:p>
                <w:p w14:paraId="2822EFD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3"/>
                      <w:rFonts w:hint="default" w:ascii="Times New Roman" w:hAnsi="Times New Roman" w:eastAsia="宋体" w:cs="Times New Roman"/>
                      <w:b/>
                      <w:bCs/>
                      <w:sz w:val="18"/>
                      <w:szCs w:val="18"/>
                      <w:lang w:val="en-US" w:eastAsia="zh-CN" w:bidi="ar"/>
                    </w:rPr>
                    <w:t>t/a</w:t>
                  </w:r>
                </w:p>
              </w:tc>
              <w:tc>
                <w:tcPr>
                  <w:tcW w:w="538" w:type="pct"/>
                  <w:tcBorders>
                    <w:tl2br w:val="nil"/>
                    <w:tr2bl w:val="nil"/>
                  </w:tcBorders>
                  <w:shd w:val="clear" w:color="auto" w:fill="auto"/>
                  <w:noWrap/>
                  <w:tcMar>
                    <w:top w:w="0" w:type="dxa"/>
                    <w:left w:w="0" w:type="dxa"/>
                    <w:bottom w:w="0" w:type="dxa"/>
                    <w:right w:w="0" w:type="dxa"/>
                  </w:tcMar>
                  <w:vAlign w:val="center"/>
                </w:tcPr>
                <w:p w14:paraId="4E6F289E">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排放速</w:t>
                  </w:r>
                </w:p>
                <w:p w14:paraId="134D0CB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2"/>
                      <w:rFonts w:hint="default" w:ascii="Times New Roman" w:hAnsi="Times New Roman" w:cs="Times New Roman"/>
                      <w:b/>
                      <w:bCs/>
                      <w:sz w:val="18"/>
                      <w:szCs w:val="18"/>
                      <w:lang w:val="en-US" w:eastAsia="zh-CN" w:bidi="ar"/>
                    </w:rPr>
                    <w:t>率</w:t>
                  </w:r>
                  <w:r>
                    <w:rPr>
                      <w:rStyle w:val="53"/>
                      <w:rFonts w:hint="default" w:ascii="Times New Roman" w:hAnsi="Times New Roman" w:eastAsia="宋体" w:cs="Times New Roman"/>
                      <w:b/>
                      <w:bCs/>
                      <w:sz w:val="18"/>
                      <w:szCs w:val="18"/>
                      <w:lang w:val="en-US" w:eastAsia="zh-CN" w:bidi="ar"/>
                    </w:rPr>
                    <w:t>kg/h</w:t>
                  </w:r>
                </w:p>
              </w:tc>
              <w:tc>
                <w:tcPr>
                  <w:tcW w:w="417" w:type="pct"/>
                  <w:tcBorders>
                    <w:tl2br w:val="nil"/>
                    <w:tr2bl w:val="nil"/>
                  </w:tcBorders>
                  <w:shd w:val="clear" w:color="auto" w:fill="auto"/>
                  <w:noWrap/>
                  <w:tcMar>
                    <w:top w:w="0" w:type="dxa"/>
                    <w:left w:w="0" w:type="dxa"/>
                    <w:bottom w:w="0" w:type="dxa"/>
                    <w:right w:w="0" w:type="dxa"/>
                  </w:tcMar>
                  <w:vAlign w:val="center"/>
                </w:tcPr>
                <w:p w14:paraId="2FAA8FE7">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排放量</w:t>
                  </w:r>
                </w:p>
                <w:p w14:paraId="1CA2C5F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3"/>
                      <w:rFonts w:hint="default" w:ascii="Times New Roman" w:hAnsi="Times New Roman" w:eastAsia="宋体" w:cs="Times New Roman"/>
                      <w:b/>
                      <w:bCs/>
                      <w:sz w:val="18"/>
                      <w:szCs w:val="18"/>
                      <w:lang w:val="en-US" w:eastAsia="zh-CN" w:bidi="ar"/>
                    </w:rPr>
                    <w:t>t/a</w:t>
                  </w:r>
                </w:p>
              </w:tc>
              <w:tc>
                <w:tcPr>
                  <w:tcW w:w="532" w:type="pct"/>
                  <w:tcBorders>
                    <w:tl2br w:val="nil"/>
                    <w:tr2bl w:val="nil"/>
                  </w:tcBorders>
                  <w:shd w:val="clear" w:color="auto" w:fill="auto"/>
                  <w:noWrap/>
                  <w:tcMar>
                    <w:top w:w="0" w:type="dxa"/>
                    <w:left w:w="0" w:type="dxa"/>
                    <w:bottom w:w="0" w:type="dxa"/>
                    <w:right w:w="0" w:type="dxa"/>
                  </w:tcMar>
                  <w:vAlign w:val="center"/>
                </w:tcPr>
                <w:p w14:paraId="4905D04D">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排放速率</w:t>
                  </w:r>
                </w:p>
                <w:p w14:paraId="096FFDA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3"/>
                      <w:rFonts w:hint="default" w:ascii="Times New Roman" w:hAnsi="Times New Roman" w:eastAsia="宋体" w:cs="Times New Roman"/>
                      <w:b/>
                      <w:bCs/>
                      <w:sz w:val="18"/>
                      <w:szCs w:val="18"/>
                      <w:lang w:val="en-US" w:eastAsia="zh-CN" w:bidi="ar"/>
                    </w:rPr>
                    <w:t>kg/h</w:t>
                  </w:r>
                </w:p>
              </w:tc>
              <w:tc>
                <w:tcPr>
                  <w:tcW w:w="545" w:type="pct"/>
                  <w:tcBorders>
                    <w:tl2br w:val="nil"/>
                    <w:tr2bl w:val="nil"/>
                  </w:tcBorders>
                  <w:shd w:val="clear" w:color="auto" w:fill="auto"/>
                  <w:noWrap/>
                  <w:tcMar>
                    <w:top w:w="0" w:type="dxa"/>
                    <w:left w:w="0" w:type="dxa"/>
                    <w:bottom w:w="0" w:type="dxa"/>
                    <w:right w:w="0" w:type="dxa"/>
                  </w:tcMar>
                  <w:vAlign w:val="center"/>
                </w:tcPr>
                <w:p w14:paraId="358DE2A4">
                  <w:pPr>
                    <w:keepNext w:val="0"/>
                    <w:keepLines w:val="0"/>
                    <w:widowControl/>
                    <w:suppressLineNumbers w:val="0"/>
                    <w:ind w:left="0" w:leftChars="0" w:firstLine="0" w:firstLineChars="0"/>
                    <w:jc w:val="center"/>
                    <w:textAlignment w:val="center"/>
                    <w:rPr>
                      <w:rStyle w:val="52"/>
                      <w:rFonts w:hint="default" w:ascii="Times New Roman" w:hAnsi="Times New Roman" w:cs="Times New Roman"/>
                      <w:b/>
                      <w:bCs/>
                      <w:sz w:val="18"/>
                      <w:szCs w:val="18"/>
                      <w:lang w:val="en-US" w:eastAsia="zh-CN" w:bidi="ar"/>
                    </w:rPr>
                  </w:pPr>
                  <w:r>
                    <w:rPr>
                      <w:rStyle w:val="52"/>
                      <w:rFonts w:hint="default" w:ascii="Times New Roman" w:hAnsi="Times New Roman" w:cs="Times New Roman"/>
                      <w:b/>
                      <w:bCs/>
                      <w:sz w:val="18"/>
                      <w:szCs w:val="18"/>
                      <w:lang w:val="en-US" w:eastAsia="zh-CN" w:bidi="ar"/>
                    </w:rPr>
                    <w:t>排放浓度</w:t>
                  </w:r>
                </w:p>
                <w:p w14:paraId="3021660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Style w:val="53"/>
                      <w:rFonts w:hint="default" w:ascii="Times New Roman" w:hAnsi="Times New Roman" w:eastAsia="宋体" w:cs="Times New Roman"/>
                      <w:b/>
                      <w:bCs/>
                      <w:sz w:val="18"/>
                      <w:szCs w:val="18"/>
                      <w:lang w:val="en-US" w:eastAsia="zh-CN" w:bidi="ar"/>
                    </w:rPr>
                    <w:t>mg/m</w:t>
                  </w:r>
                  <w:r>
                    <w:rPr>
                      <w:rStyle w:val="53"/>
                      <w:rFonts w:hint="default" w:ascii="Times New Roman" w:hAnsi="Times New Roman" w:eastAsia="宋体" w:cs="Times New Roman"/>
                      <w:b/>
                      <w:bCs/>
                      <w:sz w:val="18"/>
                      <w:szCs w:val="18"/>
                      <w:vertAlign w:val="superscript"/>
                      <w:lang w:val="en-US" w:eastAsia="zh-CN" w:bidi="ar"/>
                    </w:rPr>
                    <w:t>3</w:t>
                  </w:r>
                </w:p>
              </w:tc>
            </w:tr>
            <w:tr w14:paraId="441DC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8" w:hRule="atLeast"/>
                <w:jc w:val="center"/>
              </w:trPr>
              <w:tc>
                <w:tcPr>
                  <w:tcW w:w="861" w:type="pct"/>
                  <w:tcBorders>
                    <w:tl2br w:val="nil"/>
                    <w:tr2bl w:val="nil"/>
                  </w:tcBorders>
                  <w:shd w:val="clear" w:color="auto" w:fill="auto"/>
                  <w:noWrap/>
                  <w:tcMar>
                    <w:top w:w="0" w:type="dxa"/>
                    <w:left w:w="0" w:type="dxa"/>
                    <w:bottom w:w="0" w:type="dxa"/>
                    <w:right w:w="0" w:type="dxa"/>
                  </w:tcMar>
                  <w:vAlign w:val="center"/>
                </w:tcPr>
                <w:p w14:paraId="37BD9A6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颗粒物</w:t>
                  </w:r>
                  <w:r>
                    <w:rPr>
                      <w:rFonts w:hint="eastAsia" w:ascii="Times New Roman" w:hAnsi="Times New Roman" w:cs="Times New Roman"/>
                      <w:i w:val="0"/>
                      <w:iCs w:val="0"/>
                      <w:color w:val="000000"/>
                      <w:kern w:val="0"/>
                      <w:sz w:val="18"/>
                      <w:szCs w:val="18"/>
                      <w:u w:val="none"/>
                      <w:lang w:val="en-US" w:eastAsia="zh-CN" w:bidi="ar"/>
                    </w:rPr>
                    <w:t>*</w:t>
                  </w:r>
                </w:p>
              </w:tc>
              <w:tc>
                <w:tcPr>
                  <w:tcW w:w="455" w:type="pct"/>
                  <w:tcBorders>
                    <w:tl2br w:val="nil"/>
                    <w:tr2bl w:val="nil"/>
                  </w:tcBorders>
                  <w:shd w:val="clear" w:color="auto" w:fill="auto"/>
                  <w:noWrap/>
                  <w:tcMar>
                    <w:top w:w="0" w:type="dxa"/>
                    <w:left w:w="0" w:type="dxa"/>
                    <w:bottom w:w="0" w:type="dxa"/>
                    <w:right w:w="0" w:type="dxa"/>
                  </w:tcMar>
                  <w:vAlign w:val="center"/>
                </w:tcPr>
                <w:p w14:paraId="30D1A9C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1.3406</w:t>
                  </w:r>
                </w:p>
              </w:tc>
              <w:tc>
                <w:tcPr>
                  <w:tcW w:w="335" w:type="pct"/>
                  <w:tcBorders>
                    <w:tl2br w:val="nil"/>
                    <w:tr2bl w:val="nil"/>
                  </w:tcBorders>
                  <w:shd w:val="clear" w:color="auto" w:fill="auto"/>
                  <w:noWrap/>
                  <w:tcMar>
                    <w:top w:w="0" w:type="dxa"/>
                    <w:left w:w="0" w:type="dxa"/>
                    <w:bottom w:w="0" w:type="dxa"/>
                    <w:right w:w="0" w:type="dxa"/>
                  </w:tcMar>
                  <w:vAlign w:val="center"/>
                </w:tcPr>
                <w:p w14:paraId="6ADD604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449" w:type="pct"/>
                  <w:tcBorders>
                    <w:tl2br w:val="nil"/>
                    <w:tr2bl w:val="nil"/>
                  </w:tcBorders>
                  <w:shd w:val="clear" w:color="auto" w:fill="auto"/>
                  <w:noWrap/>
                  <w:tcMar>
                    <w:top w:w="0" w:type="dxa"/>
                    <w:left w:w="0" w:type="dxa"/>
                    <w:bottom w:w="0" w:type="dxa"/>
                    <w:right w:w="0" w:type="dxa"/>
                  </w:tcMar>
                  <w:vAlign w:val="center"/>
                </w:tcPr>
                <w:p w14:paraId="719321B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28" w:type="pct"/>
                  <w:tcBorders>
                    <w:tl2br w:val="nil"/>
                    <w:tr2bl w:val="nil"/>
                  </w:tcBorders>
                  <w:shd w:val="clear" w:color="auto" w:fill="auto"/>
                  <w:noWrap/>
                  <w:tcMar>
                    <w:top w:w="0" w:type="dxa"/>
                    <w:left w:w="0" w:type="dxa"/>
                    <w:bottom w:w="0" w:type="dxa"/>
                    <w:right w:w="0" w:type="dxa"/>
                  </w:tcMar>
                  <w:vAlign w:val="center"/>
                </w:tcPr>
                <w:p w14:paraId="60A8569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1.0617</w:t>
                  </w:r>
                </w:p>
              </w:tc>
              <w:tc>
                <w:tcPr>
                  <w:tcW w:w="436" w:type="pct"/>
                  <w:tcBorders>
                    <w:tl2br w:val="nil"/>
                    <w:tr2bl w:val="nil"/>
                  </w:tcBorders>
                  <w:shd w:val="clear" w:color="auto" w:fill="auto"/>
                  <w:noWrap/>
                  <w:tcMar>
                    <w:top w:w="0" w:type="dxa"/>
                    <w:left w:w="0" w:type="dxa"/>
                    <w:bottom w:w="0" w:type="dxa"/>
                    <w:right w:w="0" w:type="dxa"/>
                  </w:tcMar>
                  <w:vAlign w:val="center"/>
                </w:tcPr>
                <w:p w14:paraId="5982823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0.0134</w:t>
                  </w:r>
                </w:p>
              </w:tc>
              <w:tc>
                <w:tcPr>
                  <w:tcW w:w="538" w:type="pct"/>
                  <w:tcBorders>
                    <w:tl2br w:val="nil"/>
                    <w:tr2bl w:val="nil"/>
                  </w:tcBorders>
                  <w:shd w:val="clear" w:color="auto" w:fill="auto"/>
                  <w:noWrap/>
                  <w:tcMar>
                    <w:top w:w="0" w:type="dxa"/>
                    <w:left w:w="0" w:type="dxa"/>
                    <w:bottom w:w="0" w:type="dxa"/>
                    <w:right w:w="0" w:type="dxa"/>
                  </w:tcMar>
                  <w:vAlign w:val="center"/>
                </w:tcPr>
                <w:p w14:paraId="3510663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0.0056</w:t>
                  </w:r>
                </w:p>
              </w:tc>
              <w:tc>
                <w:tcPr>
                  <w:tcW w:w="417" w:type="pct"/>
                  <w:tcBorders>
                    <w:tl2br w:val="nil"/>
                    <w:tr2bl w:val="nil"/>
                  </w:tcBorders>
                  <w:shd w:val="clear" w:color="auto" w:fill="auto"/>
                  <w:noWrap/>
                  <w:tcMar>
                    <w:top w:w="0" w:type="dxa"/>
                    <w:left w:w="0" w:type="dxa"/>
                    <w:bottom w:w="0" w:type="dxa"/>
                    <w:right w:w="0" w:type="dxa"/>
                  </w:tcMar>
                  <w:vAlign w:val="center"/>
                </w:tcPr>
                <w:p w14:paraId="6D63074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0.2654</w:t>
                  </w:r>
                </w:p>
              </w:tc>
              <w:tc>
                <w:tcPr>
                  <w:tcW w:w="532" w:type="pct"/>
                  <w:tcBorders>
                    <w:tl2br w:val="nil"/>
                    <w:tr2bl w:val="nil"/>
                  </w:tcBorders>
                  <w:shd w:val="clear" w:color="auto" w:fill="auto"/>
                  <w:noWrap/>
                  <w:tcMar>
                    <w:top w:w="0" w:type="dxa"/>
                    <w:left w:w="0" w:type="dxa"/>
                    <w:bottom w:w="0" w:type="dxa"/>
                    <w:right w:w="0" w:type="dxa"/>
                  </w:tcMar>
                  <w:vAlign w:val="center"/>
                </w:tcPr>
                <w:p w14:paraId="4D54809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0.1106</w:t>
                  </w:r>
                </w:p>
              </w:tc>
              <w:tc>
                <w:tcPr>
                  <w:tcW w:w="545" w:type="pct"/>
                  <w:tcBorders>
                    <w:tl2br w:val="nil"/>
                    <w:tr2bl w:val="nil"/>
                  </w:tcBorders>
                  <w:shd w:val="clear" w:color="auto" w:fill="auto"/>
                  <w:noWrap/>
                  <w:tcMar>
                    <w:top w:w="0" w:type="dxa"/>
                    <w:left w:w="0" w:type="dxa"/>
                    <w:bottom w:w="0" w:type="dxa"/>
                    <w:right w:w="0" w:type="dxa"/>
                  </w:tcMar>
                  <w:vAlign w:val="center"/>
                </w:tcPr>
                <w:p w14:paraId="24BF002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7.37</w:t>
                  </w:r>
                </w:p>
              </w:tc>
            </w:tr>
            <w:tr w14:paraId="29372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61" w:type="pct"/>
                  <w:tcBorders>
                    <w:tl2br w:val="nil"/>
                    <w:tr2bl w:val="nil"/>
                  </w:tcBorders>
                  <w:shd w:val="clear" w:color="auto" w:fill="auto"/>
                  <w:noWrap/>
                  <w:tcMar>
                    <w:top w:w="0" w:type="dxa"/>
                    <w:left w:w="0" w:type="dxa"/>
                    <w:bottom w:w="0" w:type="dxa"/>
                    <w:right w:w="0" w:type="dxa"/>
                  </w:tcMar>
                  <w:vAlign w:val="center"/>
                </w:tcPr>
                <w:p w14:paraId="2F82C29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非甲烷总烃</w:t>
                  </w:r>
                </w:p>
              </w:tc>
              <w:tc>
                <w:tcPr>
                  <w:tcW w:w="455" w:type="pct"/>
                  <w:tcBorders>
                    <w:tl2br w:val="nil"/>
                    <w:tr2bl w:val="nil"/>
                  </w:tcBorders>
                  <w:shd w:val="clear" w:color="auto" w:fill="auto"/>
                  <w:noWrap/>
                  <w:tcMar>
                    <w:top w:w="0" w:type="dxa"/>
                    <w:left w:w="0" w:type="dxa"/>
                    <w:bottom w:w="0" w:type="dxa"/>
                    <w:right w:w="0" w:type="dxa"/>
                  </w:tcMar>
                  <w:vAlign w:val="center"/>
                </w:tcPr>
                <w:p w14:paraId="1E29583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335" w:type="pct"/>
                  <w:tcBorders>
                    <w:tl2br w:val="nil"/>
                    <w:tr2bl w:val="nil"/>
                  </w:tcBorders>
                  <w:shd w:val="clear" w:color="auto" w:fill="auto"/>
                  <w:noWrap/>
                  <w:tcMar>
                    <w:top w:w="0" w:type="dxa"/>
                    <w:left w:w="0" w:type="dxa"/>
                    <w:bottom w:w="0" w:type="dxa"/>
                    <w:right w:w="0" w:type="dxa"/>
                  </w:tcMar>
                  <w:vAlign w:val="center"/>
                </w:tcPr>
                <w:p w14:paraId="7F92AD3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449" w:type="pct"/>
                  <w:tcBorders>
                    <w:tl2br w:val="nil"/>
                    <w:tr2bl w:val="nil"/>
                  </w:tcBorders>
                  <w:shd w:val="clear" w:color="auto" w:fill="auto"/>
                  <w:noWrap/>
                  <w:tcMar>
                    <w:top w:w="0" w:type="dxa"/>
                    <w:left w:w="0" w:type="dxa"/>
                    <w:bottom w:w="0" w:type="dxa"/>
                    <w:right w:w="0" w:type="dxa"/>
                  </w:tcMar>
                  <w:vAlign w:val="center"/>
                </w:tcPr>
                <w:p w14:paraId="675C9EB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28" w:type="pct"/>
                  <w:tcBorders>
                    <w:tl2br w:val="nil"/>
                    <w:tr2bl w:val="nil"/>
                  </w:tcBorders>
                  <w:shd w:val="clear" w:color="auto" w:fill="auto"/>
                  <w:noWrap/>
                  <w:tcMar>
                    <w:top w:w="0" w:type="dxa"/>
                    <w:left w:w="0" w:type="dxa"/>
                    <w:bottom w:w="0" w:type="dxa"/>
                    <w:right w:w="0" w:type="dxa"/>
                  </w:tcMar>
                  <w:vAlign w:val="center"/>
                </w:tcPr>
                <w:p w14:paraId="5380608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3.9786</w:t>
                  </w:r>
                </w:p>
              </w:tc>
              <w:tc>
                <w:tcPr>
                  <w:tcW w:w="436" w:type="pct"/>
                  <w:tcBorders>
                    <w:tl2br w:val="nil"/>
                    <w:tr2bl w:val="nil"/>
                  </w:tcBorders>
                  <w:shd w:val="clear" w:color="auto" w:fill="auto"/>
                  <w:noWrap/>
                  <w:tcMar>
                    <w:top w:w="0" w:type="dxa"/>
                    <w:left w:w="0" w:type="dxa"/>
                    <w:bottom w:w="0" w:type="dxa"/>
                    <w:right w:w="0" w:type="dxa"/>
                  </w:tcMar>
                  <w:vAlign w:val="center"/>
                </w:tcPr>
                <w:p w14:paraId="568330B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0.2618</w:t>
                  </w:r>
                </w:p>
              </w:tc>
              <w:tc>
                <w:tcPr>
                  <w:tcW w:w="538" w:type="pct"/>
                  <w:tcBorders>
                    <w:tl2br w:val="nil"/>
                    <w:tr2bl w:val="nil"/>
                  </w:tcBorders>
                  <w:shd w:val="clear" w:color="auto" w:fill="auto"/>
                  <w:noWrap/>
                  <w:tcMar>
                    <w:top w:w="0" w:type="dxa"/>
                    <w:left w:w="0" w:type="dxa"/>
                    <w:bottom w:w="0" w:type="dxa"/>
                    <w:right w:w="0" w:type="dxa"/>
                  </w:tcMar>
                  <w:vAlign w:val="center"/>
                </w:tcPr>
                <w:p w14:paraId="7F98057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0.1091</w:t>
                  </w:r>
                </w:p>
              </w:tc>
              <w:tc>
                <w:tcPr>
                  <w:tcW w:w="417" w:type="pct"/>
                  <w:tcBorders>
                    <w:tl2br w:val="nil"/>
                    <w:tr2bl w:val="nil"/>
                  </w:tcBorders>
                  <w:shd w:val="clear" w:color="auto" w:fill="auto"/>
                  <w:noWrap/>
                  <w:tcMar>
                    <w:top w:w="0" w:type="dxa"/>
                    <w:left w:w="0" w:type="dxa"/>
                    <w:bottom w:w="0" w:type="dxa"/>
                    <w:right w:w="0" w:type="dxa"/>
                  </w:tcMar>
                  <w:vAlign w:val="center"/>
                </w:tcPr>
                <w:p w14:paraId="611ECC9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0.9947</w:t>
                  </w:r>
                </w:p>
              </w:tc>
              <w:tc>
                <w:tcPr>
                  <w:tcW w:w="532" w:type="pct"/>
                  <w:tcBorders>
                    <w:tl2br w:val="nil"/>
                    <w:tr2bl w:val="nil"/>
                  </w:tcBorders>
                  <w:shd w:val="clear" w:color="auto" w:fill="auto"/>
                  <w:noWrap/>
                  <w:tcMar>
                    <w:top w:w="0" w:type="dxa"/>
                    <w:left w:w="0" w:type="dxa"/>
                    <w:bottom w:w="0" w:type="dxa"/>
                    <w:right w:w="0" w:type="dxa"/>
                  </w:tcMar>
                  <w:vAlign w:val="center"/>
                </w:tcPr>
                <w:p w14:paraId="5E8BE04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0.4144</w:t>
                  </w:r>
                </w:p>
              </w:tc>
              <w:tc>
                <w:tcPr>
                  <w:tcW w:w="545" w:type="pct"/>
                  <w:tcBorders>
                    <w:tl2br w:val="nil"/>
                    <w:tr2bl w:val="nil"/>
                  </w:tcBorders>
                  <w:shd w:val="clear" w:color="auto" w:fill="auto"/>
                  <w:noWrap/>
                  <w:tcMar>
                    <w:top w:w="0" w:type="dxa"/>
                    <w:left w:w="0" w:type="dxa"/>
                    <w:bottom w:w="0" w:type="dxa"/>
                    <w:right w:w="0" w:type="dxa"/>
                  </w:tcMar>
                  <w:vAlign w:val="center"/>
                </w:tcPr>
                <w:p w14:paraId="191EAB1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27.63</w:t>
                  </w:r>
                </w:p>
              </w:tc>
            </w:tr>
            <w:tr w14:paraId="3CB02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8" w:hRule="atLeast"/>
                <w:jc w:val="center"/>
              </w:trPr>
              <w:tc>
                <w:tcPr>
                  <w:tcW w:w="861" w:type="pct"/>
                  <w:tcBorders>
                    <w:tl2br w:val="nil"/>
                    <w:tr2bl w:val="nil"/>
                  </w:tcBorders>
                  <w:shd w:val="clear" w:color="auto" w:fill="auto"/>
                  <w:noWrap/>
                  <w:tcMar>
                    <w:top w:w="0" w:type="dxa"/>
                    <w:left w:w="0" w:type="dxa"/>
                    <w:bottom w:w="0" w:type="dxa"/>
                    <w:right w:w="0" w:type="dxa"/>
                  </w:tcMar>
                  <w:vAlign w:val="center"/>
                </w:tcPr>
                <w:p w14:paraId="34450D4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甲苯</w:t>
                  </w:r>
                </w:p>
              </w:tc>
              <w:tc>
                <w:tcPr>
                  <w:tcW w:w="455" w:type="pct"/>
                  <w:tcBorders>
                    <w:tl2br w:val="nil"/>
                    <w:tr2bl w:val="nil"/>
                  </w:tcBorders>
                  <w:shd w:val="clear" w:color="auto" w:fill="auto"/>
                  <w:noWrap/>
                  <w:tcMar>
                    <w:top w:w="0" w:type="dxa"/>
                    <w:left w:w="0" w:type="dxa"/>
                    <w:bottom w:w="0" w:type="dxa"/>
                    <w:right w:w="0" w:type="dxa"/>
                  </w:tcMar>
                  <w:vAlign w:val="center"/>
                </w:tcPr>
                <w:p w14:paraId="5C640B4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335" w:type="pct"/>
                  <w:tcBorders>
                    <w:tl2br w:val="nil"/>
                    <w:tr2bl w:val="nil"/>
                  </w:tcBorders>
                  <w:shd w:val="clear" w:color="auto" w:fill="auto"/>
                  <w:noWrap/>
                  <w:tcMar>
                    <w:top w:w="0" w:type="dxa"/>
                    <w:left w:w="0" w:type="dxa"/>
                    <w:bottom w:w="0" w:type="dxa"/>
                    <w:right w:w="0" w:type="dxa"/>
                  </w:tcMar>
                  <w:vAlign w:val="center"/>
                </w:tcPr>
                <w:p w14:paraId="31C4880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449" w:type="pct"/>
                  <w:tcBorders>
                    <w:tl2br w:val="nil"/>
                    <w:tr2bl w:val="nil"/>
                  </w:tcBorders>
                  <w:shd w:val="clear" w:color="auto" w:fill="auto"/>
                  <w:noWrap/>
                  <w:tcMar>
                    <w:top w:w="0" w:type="dxa"/>
                    <w:left w:w="0" w:type="dxa"/>
                    <w:bottom w:w="0" w:type="dxa"/>
                    <w:right w:w="0" w:type="dxa"/>
                  </w:tcMar>
                  <w:vAlign w:val="center"/>
                </w:tcPr>
                <w:p w14:paraId="5AF65C2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28" w:type="pct"/>
                  <w:tcBorders>
                    <w:tl2br w:val="nil"/>
                    <w:tr2bl w:val="nil"/>
                  </w:tcBorders>
                  <w:shd w:val="clear" w:color="auto" w:fill="auto"/>
                  <w:noWrap/>
                  <w:tcMar>
                    <w:top w:w="0" w:type="dxa"/>
                    <w:left w:w="0" w:type="dxa"/>
                    <w:bottom w:w="0" w:type="dxa"/>
                    <w:right w:w="0" w:type="dxa"/>
                  </w:tcMar>
                  <w:vAlign w:val="center"/>
                </w:tcPr>
                <w:p w14:paraId="0DD430A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0.3268</w:t>
                  </w:r>
                </w:p>
              </w:tc>
              <w:tc>
                <w:tcPr>
                  <w:tcW w:w="436" w:type="pct"/>
                  <w:tcBorders>
                    <w:tl2br w:val="nil"/>
                    <w:tr2bl w:val="nil"/>
                  </w:tcBorders>
                  <w:shd w:val="clear" w:color="auto" w:fill="auto"/>
                  <w:noWrap/>
                  <w:tcMar>
                    <w:top w:w="0" w:type="dxa"/>
                    <w:left w:w="0" w:type="dxa"/>
                    <w:bottom w:w="0" w:type="dxa"/>
                    <w:right w:w="0" w:type="dxa"/>
                  </w:tcMar>
                  <w:vAlign w:val="center"/>
                </w:tcPr>
                <w:p w14:paraId="4FF6FAA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0.0215</w:t>
                  </w:r>
                </w:p>
              </w:tc>
              <w:tc>
                <w:tcPr>
                  <w:tcW w:w="538" w:type="pct"/>
                  <w:tcBorders>
                    <w:tl2br w:val="nil"/>
                    <w:tr2bl w:val="nil"/>
                  </w:tcBorders>
                  <w:shd w:val="clear" w:color="auto" w:fill="auto"/>
                  <w:noWrap/>
                  <w:tcMar>
                    <w:top w:w="0" w:type="dxa"/>
                    <w:left w:w="0" w:type="dxa"/>
                    <w:bottom w:w="0" w:type="dxa"/>
                    <w:right w:w="0" w:type="dxa"/>
                  </w:tcMar>
                  <w:vAlign w:val="center"/>
                </w:tcPr>
                <w:p w14:paraId="16A1B4C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0.0090</w:t>
                  </w:r>
                </w:p>
              </w:tc>
              <w:tc>
                <w:tcPr>
                  <w:tcW w:w="417" w:type="pct"/>
                  <w:tcBorders>
                    <w:tl2br w:val="nil"/>
                    <w:tr2bl w:val="nil"/>
                  </w:tcBorders>
                  <w:shd w:val="clear" w:color="auto" w:fill="auto"/>
                  <w:noWrap/>
                  <w:tcMar>
                    <w:top w:w="0" w:type="dxa"/>
                    <w:left w:w="0" w:type="dxa"/>
                    <w:bottom w:w="0" w:type="dxa"/>
                    <w:right w:w="0" w:type="dxa"/>
                  </w:tcMar>
                  <w:vAlign w:val="center"/>
                </w:tcPr>
                <w:p w14:paraId="03C336C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0.0817</w:t>
                  </w:r>
                </w:p>
              </w:tc>
              <w:tc>
                <w:tcPr>
                  <w:tcW w:w="532" w:type="pct"/>
                  <w:tcBorders>
                    <w:tl2br w:val="nil"/>
                    <w:tr2bl w:val="nil"/>
                  </w:tcBorders>
                  <w:shd w:val="clear" w:color="auto" w:fill="auto"/>
                  <w:noWrap/>
                  <w:tcMar>
                    <w:top w:w="0" w:type="dxa"/>
                    <w:left w:w="0" w:type="dxa"/>
                    <w:bottom w:w="0" w:type="dxa"/>
                    <w:right w:w="0" w:type="dxa"/>
                  </w:tcMar>
                  <w:vAlign w:val="center"/>
                </w:tcPr>
                <w:p w14:paraId="089D661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0.0340</w:t>
                  </w:r>
                </w:p>
              </w:tc>
              <w:tc>
                <w:tcPr>
                  <w:tcW w:w="545" w:type="pct"/>
                  <w:tcBorders>
                    <w:tl2br w:val="nil"/>
                    <w:tr2bl w:val="nil"/>
                  </w:tcBorders>
                  <w:shd w:val="clear" w:color="auto" w:fill="auto"/>
                  <w:noWrap/>
                  <w:tcMar>
                    <w:top w:w="0" w:type="dxa"/>
                    <w:left w:w="0" w:type="dxa"/>
                    <w:bottom w:w="0" w:type="dxa"/>
                    <w:right w:w="0" w:type="dxa"/>
                  </w:tcMar>
                  <w:vAlign w:val="center"/>
                </w:tcPr>
                <w:p w14:paraId="7854DFD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r>
            <w:tr w14:paraId="10237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61" w:type="pct"/>
                  <w:tcBorders>
                    <w:tl2br w:val="nil"/>
                    <w:tr2bl w:val="nil"/>
                  </w:tcBorders>
                  <w:shd w:val="clear" w:color="auto" w:fill="auto"/>
                  <w:noWrap/>
                  <w:tcMar>
                    <w:top w:w="0" w:type="dxa"/>
                    <w:left w:w="0" w:type="dxa"/>
                    <w:bottom w:w="0" w:type="dxa"/>
                    <w:right w:w="0" w:type="dxa"/>
                  </w:tcMar>
                  <w:vAlign w:val="center"/>
                </w:tcPr>
                <w:p w14:paraId="6CB5E1C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二甲苯</w:t>
                  </w:r>
                </w:p>
              </w:tc>
              <w:tc>
                <w:tcPr>
                  <w:tcW w:w="455" w:type="pct"/>
                  <w:tcBorders>
                    <w:tl2br w:val="nil"/>
                    <w:tr2bl w:val="nil"/>
                  </w:tcBorders>
                  <w:shd w:val="clear" w:color="auto" w:fill="auto"/>
                  <w:noWrap/>
                  <w:tcMar>
                    <w:top w:w="0" w:type="dxa"/>
                    <w:left w:w="0" w:type="dxa"/>
                    <w:bottom w:w="0" w:type="dxa"/>
                    <w:right w:w="0" w:type="dxa"/>
                  </w:tcMar>
                  <w:vAlign w:val="center"/>
                </w:tcPr>
                <w:p w14:paraId="0F438F2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335" w:type="pct"/>
                  <w:tcBorders>
                    <w:tl2br w:val="nil"/>
                    <w:tr2bl w:val="nil"/>
                  </w:tcBorders>
                  <w:shd w:val="clear" w:color="auto" w:fill="auto"/>
                  <w:noWrap/>
                  <w:tcMar>
                    <w:top w:w="0" w:type="dxa"/>
                    <w:left w:w="0" w:type="dxa"/>
                    <w:bottom w:w="0" w:type="dxa"/>
                    <w:right w:w="0" w:type="dxa"/>
                  </w:tcMar>
                  <w:vAlign w:val="center"/>
                </w:tcPr>
                <w:p w14:paraId="26D6DCC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449" w:type="pct"/>
                  <w:tcBorders>
                    <w:tl2br w:val="nil"/>
                    <w:tr2bl w:val="nil"/>
                  </w:tcBorders>
                  <w:shd w:val="clear" w:color="auto" w:fill="auto"/>
                  <w:noWrap/>
                  <w:tcMar>
                    <w:top w:w="0" w:type="dxa"/>
                    <w:left w:w="0" w:type="dxa"/>
                    <w:bottom w:w="0" w:type="dxa"/>
                    <w:right w:w="0" w:type="dxa"/>
                  </w:tcMar>
                  <w:vAlign w:val="center"/>
                </w:tcPr>
                <w:p w14:paraId="0187B88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28" w:type="pct"/>
                  <w:tcBorders>
                    <w:tl2br w:val="nil"/>
                    <w:tr2bl w:val="nil"/>
                  </w:tcBorders>
                  <w:shd w:val="clear" w:color="auto" w:fill="auto"/>
                  <w:noWrap/>
                  <w:tcMar>
                    <w:top w:w="0" w:type="dxa"/>
                    <w:left w:w="0" w:type="dxa"/>
                    <w:bottom w:w="0" w:type="dxa"/>
                    <w:right w:w="0" w:type="dxa"/>
                  </w:tcMar>
                  <w:vAlign w:val="center"/>
                </w:tcPr>
                <w:p w14:paraId="56B390A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0.3268</w:t>
                  </w:r>
                </w:p>
              </w:tc>
              <w:tc>
                <w:tcPr>
                  <w:tcW w:w="436" w:type="pct"/>
                  <w:tcBorders>
                    <w:tl2br w:val="nil"/>
                    <w:tr2bl w:val="nil"/>
                  </w:tcBorders>
                  <w:shd w:val="clear" w:color="auto" w:fill="auto"/>
                  <w:noWrap/>
                  <w:tcMar>
                    <w:top w:w="0" w:type="dxa"/>
                    <w:left w:w="0" w:type="dxa"/>
                    <w:bottom w:w="0" w:type="dxa"/>
                    <w:right w:w="0" w:type="dxa"/>
                  </w:tcMar>
                  <w:vAlign w:val="center"/>
                </w:tcPr>
                <w:p w14:paraId="3EA0D8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0.0215</w:t>
                  </w:r>
                </w:p>
              </w:tc>
              <w:tc>
                <w:tcPr>
                  <w:tcW w:w="538" w:type="pct"/>
                  <w:tcBorders>
                    <w:tl2br w:val="nil"/>
                    <w:tr2bl w:val="nil"/>
                  </w:tcBorders>
                  <w:shd w:val="clear" w:color="auto" w:fill="auto"/>
                  <w:noWrap/>
                  <w:tcMar>
                    <w:top w:w="0" w:type="dxa"/>
                    <w:left w:w="0" w:type="dxa"/>
                    <w:bottom w:w="0" w:type="dxa"/>
                    <w:right w:w="0" w:type="dxa"/>
                  </w:tcMar>
                  <w:vAlign w:val="center"/>
                </w:tcPr>
                <w:p w14:paraId="7260ED2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0.0090</w:t>
                  </w:r>
                </w:p>
              </w:tc>
              <w:tc>
                <w:tcPr>
                  <w:tcW w:w="417" w:type="pct"/>
                  <w:tcBorders>
                    <w:tl2br w:val="nil"/>
                    <w:tr2bl w:val="nil"/>
                  </w:tcBorders>
                  <w:shd w:val="clear" w:color="auto" w:fill="auto"/>
                  <w:noWrap/>
                  <w:tcMar>
                    <w:top w:w="0" w:type="dxa"/>
                    <w:left w:w="0" w:type="dxa"/>
                    <w:bottom w:w="0" w:type="dxa"/>
                    <w:right w:w="0" w:type="dxa"/>
                  </w:tcMar>
                  <w:vAlign w:val="center"/>
                </w:tcPr>
                <w:p w14:paraId="42A4644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0.0817</w:t>
                  </w:r>
                </w:p>
              </w:tc>
              <w:tc>
                <w:tcPr>
                  <w:tcW w:w="532" w:type="pct"/>
                  <w:tcBorders>
                    <w:tl2br w:val="nil"/>
                    <w:tr2bl w:val="nil"/>
                  </w:tcBorders>
                  <w:shd w:val="clear" w:color="auto" w:fill="auto"/>
                  <w:noWrap/>
                  <w:tcMar>
                    <w:top w:w="0" w:type="dxa"/>
                    <w:left w:w="0" w:type="dxa"/>
                    <w:bottom w:w="0" w:type="dxa"/>
                    <w:right w:w="0" w:type="dxa"/>
                  </w:tcMar>
                  <w:vAlign w:val="center"/>
                </w:tcPr>
                <w:p w14:paraId="50F8E67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0.0340</w:t>
                  </w:r>
                </w:p>
              </w:tc>
              <w:tc>
                <w:tcPr>
                  <w:tcW w:w="545" w:type="pct"/>
                  <w:tcBorders>
                    <w:tl2br w:val="nil"/>
                    <w:tr2bl w:val="nil"/>
                  </w:tcBorders>
                  <w:shd w:val="clear" w:color="auto" w:fill="auto"/>
                  <w:noWrap/>
                  <w:tcMar>
                    <w:top w:w="0" w:type="dxa"/>
                    <w:left w:w="0" w:type="dxa"/>
                    <w:bottom w:w="0" w:type="dxa"/>
                    <w:right w:w="0" w:type="dxa"/>
                  </w:tcMar>
                  <w:vAlign w:val="center"/>
                </w:tcPr>
                <w:p w14:paraId="22D125E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r>
            <w:tr w14:paraId="26445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61" w:type="pct"/>
                  <w:tcBorders>
                    <w:tl2br w:val="nil"/>
                    <w:tr2bl w:val="nil"/>
                  </w:tcBorders>
                  <w:shd w:val="clear" w:color="auto" w:fill="auto"/>
                  <w:tcMar>
                    <w:top w:w="0" w:type="dxa"/>
                    <w:left w:w="0" w:type="dxa"/>
                    <w:bottom w:w="0" w:type="dxa"/>
                    <w:right w:w="0" w:type="dxa"/>
                  </w:tcMar>
                  <w:vAlign w:val="center"/>
                </w:tcPr>
                <w:p w14:paraId="603E139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乙酸乙酯和乙酸丁酯合计</w:t>
                  </w:r>
                </w:p>
              </w:tc>
              <w:tc>
                <w:tcPr>
                  <w:tcW w:w="455" w:type="pct"/>
                  <w:tcBorders>
                    <w:tl2br w:val="nil"/>
                    <w:tr2bl w:val="nil"/>
                  </w:tcBorders>
                  <w:shd w:val="clear" w:color="auto" w:fill="auto"/>
                  <w:tcMar>
                    <w:top w:w="0" w:type="dxa"/>
                    <w:left w:w="0" w:type="dxa"/>
                    <w:bottom w:w="0" w:type="dxa"/>
                    <w:right w:w="0" w:type="dxa"/>
                  </w:tcMar>
                  <w:vAlign w:val="center"/>
                </w:tcPr>
                <w:p w14:paraId="42CFBDA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335" w:type="pct"/>
                  <w:tcBorders>
                    <w:tl2br w:val="nil"/>
                    <w:tr2bl w:val="nil"/>
                  </w:tcBorders>
                  <w:shd w:val="clear" w:color="auto" w:fill="auto"/>
                  <w:noWrap/>
                  <w:tcMar>
                    <w:top w:w="0" w:type="dxa"/>
                    <w:left w:w="0" w:type="dxa"/>
                    <w:bottom w:w="0" w:type="dxa"/>
                    <w:right w:w="0" w:type="dxa"/>
                  </w:tcMar>
                  <w:vAlign w:val="center"/>
                </w:tcPr>
                <w:p w14:paraId="170697A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449" w:type="pct"/>
                  <w:tcBorders>
                    <w:tl2br w:val="nil"/>
                    <w:tr2bl w:val="nil"/>
                  </w:tcBorders>
                  <w:shd w:val="clear" w:color="auto" w:fill="auto"/>
                  <w:noWrap/>
                  <w:tcMar>
                    <w:top w:w="0" w:type="dxa"/>
                    <w:left w:w="0" w:type="dxa"/>
                    <w:bottom w:w="0" w:type="dxa"/>
                    <w:right w:w="0" w:type="dxa"/>
                  </w:tcMar>
                  <w:vAlign w:val="center"/>
                </w:tcPr>
                <w:p w14:paraId="4BCB408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428" w:type="pct"/>
                  <w:tcBorders>
                    <w:tl2br w:val="nil"/>
                    <w:tr2bl w:val="nil"/>
                  </w:tcBorders>
                  <w:shd w:val="clear" w:color="auto" w:fill="auto"/>
                  <w:noWrap/>
                  <w:tcMar>
                    <w:top w:w="0" w:type="dxa"/>
                    <w:left w:w="0" w:type="dxa"/>
                    <w:bottom w:w="0" w:type="dxa"/>
                    <w:right w:w="0" w:type="dxa"/>
                  </w:tcMar>
                  <w:vAlign w:val="center"/>
                </w:tcPr>
                <w:p w14:paraId="778DCFD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2.0178</w:t>
                  </w:r>
                </w:p>
              </w:tc>
              <w:tc>
                <w:tcPr>
                  <w:tcW w:w="436" w:type="pct"/>
                  <w:tcBorders>
                    <w:tl2br w:val="nil"/>
                    <w:tr2bl w:val="nil"/>
                  </w:tcBorders>
                  <w:shd w:val="clear" w:color="auto" w:fill="auto"/>
                  <w:noWrap/>
                  <w:tcMar>
                    <w:top w:w="0" w:type="dxa"/>
                    <w:left w:w="0" w:type="dxa"/>
                    <w:bottom w:w="0" w:type="dxa"/>
                    <w:right w:w="0" w:type="dxa"/>
                  </w:tcMar>
                  <w:vAlign w:val="center"/>
                </w:tcPr>
                <w:p w14:paraId="348E313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0.1328</w:t>
                  </w:r>
                </w:p>
              </w:tc>
              <w:tc>
                <w:tcPr>
                  <w:tcW w:w="538" w:type="pct"/>
                  <w:tcBorders>
                    <w:tl2br w:val="nil"/>
                    <w:tr2bl w:val="nil"/>
                  </w:tcBorders>
                  <w:shd w:val="clear" w:color="auto" w:fill="auto"/>
                  <w:noWrap/>
                  <w:tcMar>
                    <w:top w:w="0" w:type="dxa"/>
                    <w:left w:w="0" w:type="dxa"/>
                    <w:bottom w:w="0" w:type="dxa"/>
                    <w:right w:w="0" w:type="dxa"/>
                  </w:tcMar>
                  <w:vAlign w:val="center"/>
                </w:tcPr>
                <w:p w14:paraId="3016B40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0.0553</w:t>
                  </w:r>
                </w:p>
              </w:tc>
              <w:tc>
                <w:tcPr>
                  <w:tcW w:w="417" w:type="pct"/>
                  <w:tcBorders>
                    <w:tl2br w:val="nil"/>
                    <w:tr2bl w:val="nil"/>
                  </w:tcBorders>
                  <w:shd w:val="clear" w:color="auto" w:fill="auto"/>
                  <w:noWrap/>
                  <w:tcMar>
                    <w:top w:w="0" w:type="dxa"/>
                    <w:left w:w="0" w:type="dxa"/>
                    <w:bottom w:w="0" w:type="dxa"/>
                    <w:right w:w="0" w:type="dxa"/>
                  </w:tcMar>
                  <w:vAlign w:val="center"/>
                </w:tcPr>
                <w:p w14:paraId="5AE7C93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0.5045</w:t>
                  </w:r>
                </w:p>
              </w:tc>
              <w:tc>
                <w:tcPr>
                  <w:tcW w:w="532" w:type="pct"/>
                  <w:tcBorders>
                    <w:tl2br w:val="nil"/>
                    <w:tr2bl w:val="nil"/>
                  </w:tcBorders>
                  <w:shd w:val="clear" w:color="auto" w:fill="auto"/>
                  <w:noWrap/>
                  <w:tcMar>
                    <w:top w:w="0" w:type="dxa"/>
                    <w:left w:w="0" w:type="dxa"/>
                    <w:bottom w:w="0" w:type="dxa"/>
                    <w:right w:w="0" w:type="dxa"/>
                  </w:tcMar>
                  <w:vAlign w:val="center"/>
                </w:tcPr>
                <w:p w14:paraId="184E06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0.2102</w:t>
                  </w:r>
                </w:p>
              </w:tc>
              <w:tc>
                <w:tcPr>
                  <w:tcW w:w="545" w:type="pct"/>
                  <w:tcBorders>
                    <w:tl2br w:val="nil"/>
                    <w:tr2bl w:val="nil"/>
                  </w:tcBorders>
                  <w:shd w:val="clear" w:color="auto" w:fill="auto"/>
                  <w:noWrap/>
                  <w:tcMar>
                    <w:top w:w="0" w:type="dxa"/>
                    <w:left w:w="0" w:type="dxa"/>
                    <w:bottom w:w="0" w:type="dxa"/>
                    <w:right w:w="0" w:type="dxa"/>
                  </w:tcMar>
                  <w:vAlign w:val="center"/>
                </w:tcPr>
                <w:p w14:paraId="430C391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14.01</w:t>
                  </w:r>
                </w:p>
              </w:tc>
            </w:tr>
          </w:tbl>
          <w:p w14:paraId="7DE85F73">
            <w:pPr>
              <w:pStyle w:val="15"/>
              <w:keepNext w:val="0"/>
              <w:keepLines w:val="0"/>
              <w:pageBreakBefore w:val="0"/>
              <w:widowControl/>
              <w:kinsoku/>
              <w:wordWrap/>
              <w:overflowPunct/>
              <w:topLinePunct w:val="0"/>
              <w:autoSpaceDE/>
              <w:autoSpaceDN/>
              <w:bidi w:val="0"/>
              <w:adjustRightInd/>
              <w:snapToGrid w:val="0"/>
              <w:spacing w:before="157" w:beforeLines="50" w:line="360" w:lineRule="auto"/>
              <w:textAlignment w:val="auto"/>
              <w:rPr>
                <w:rFonts w:hint="default"/>
                <w:lang w:val="en-US" w:eastAsia="zh-CN"/>
              </w:rPr>
            </w:pPr>
            <w:r>
              <w:rPr>
                <w:rFonts w:hint="eastAsia"/>
                <w:lang w:val="en-US" w:eastAsia="zh-CN"/>
              </w:rPr>
              <w:t>项目排放口基本情况见下表</w:t>
            </w:r>
            <w:r>
              <w:rPr>
                <w:rFonts w:hint="default" w:ascii="Times New Roman" w:hAnsi="Times New Roman" w:cs="Times New Roman"/>
                <w:lang w:val="en-US" w:eastAsia="zh-CN"/>
              </w:rPr>
              <w:t>4-</w:t>
            </w:r>
            <w:r>
              <w:rPr>
                <w:rFonts w:hint="eastAsia" w:ascii="Times New Roman" w:hAnsi="Times New Roman" w:cs="Times New Roman"/>
                <w:lang w:val="en-US" w:eastAsia="zh-CN"/>
              </w:rPr>
              <w:t>5。</w:t>
            </w:r>
          </w:p>
          <w:p w14:paraId="1639D7AD">
            <w:pPr>
              <w:widowControl w:val="0"/>
              <w:wordWrap/>
              <w:adjustRightInd/>
              <w:snapToGrid/>
              <w:spacing w:line="360" w:lineRule="auto"/>
              <w:ind w:firstLine="0" w:firstLineChars="0"/>
              <w:jc w:val="center"/>
              <w:textAlignment w:val="auto"/>
              <w:rPr>
                <w:rFonts w:hint="default"/>
                <w:b/>
                <w:bCs/>
                <w:lang w:val="en-US" w:eastAsia="zh-CN"/>
              </w:rPr>
            </w:pPr>
            <w:r>
              <w:rPr>
                <w:rFonts w:hint="eastAsia"/>
                <w:b/>
                <w:bCs/>
                <w:lang w:val="en-US" w:eastAsia="zh-CN"/>
              </w:rPr>
              <w:t>表4-5  项目排放口基本情况</w:t>
            </w:r>
          </w:p>
          <w:tbl>
            <w:tblPr>
              <w:tblStyle w:val="17"/>
              <w:tblW w:w="82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662"/>
              <w:gridCol w:w="1387"/>
              <w:gridCol w:w="1041"/>
              <w:gridCol w:w="1059"/>
              <w:gridCol w:w="966"/>
              <w:gridCol w:w="996"/>
              <w:gridCol w:w="661"/>
              <w:gridCol w:w="672"/>
            </w:tblGrid>
            <w:tr w14:paraId="59804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restart"/>
                  <w:tcBorders>
                    <w:tl2br w:val="nil"/>
                    <w:tr2bl w:val="nil"/>
                  </w:tcBorders>
                  <w:tcMar>
                    <w:top w:w="0" w:type="dxa"/>
                    <w:left w:w="0" w:type="dxa"/>
                    <w:bottom w:w="0" w:type="dxa"/>
                    <w:right w:w="0" w:type="dxa"/>
                  </w:tcMar>
                  <w:vAlign w:val="center"/>
                </w:tcPr>
                <w:p w14:paraId="6B95115B">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排放口</w:t>
                  </w:r>
                </w:p>
                <w:p w14:paraId="151BF3EC">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编号</w:t>
                  </w:r>
                </w:p>
              </w:tc>
              <w:tc>
                <w:tcPr>
                  <w:tcW w:w="662" w:type="dxa"/>
                  <w:vMerge w:val="restart"/>
                  <w:tcBorders>
                    <w:tl2br w:val="nil"/>
                    <w:tr2bl w:val="nil"/>
                  </w:tcBorders>
                  <w:tcMar>
                    <w:top w:w="0" w:type="dxa"/>
                    <w:left w:w="0" w:type="dxa"/>
                    <w:bottom w:w="0" w:type="dxa"/>
                    <w:right w:w="0" w:type="dxa"/>
                  </w:tcMar>
                  <w:vAlign w:val="center"/>
                </w:tcPr>
                <w:p w14:paraId="27E49739">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排放口名称</w:t>
                  </w:r>
                </w:p>
              </w:tc>
              <w:tc>
                <w:tcPr>
                  <w:tcW w:w="1387" w:type="dxa"/>
                  <w:vMerge w:val="restart"/>
                  <w:tcBorders>
                    <w:tl2br w:val="nil"/>
                    <w:tr2bl w:val="nil"/>
                  </w:tcBorders>
                  <w:tcMar>
                    <w:top w:w="0" w:type="dxa"/>
                    <w:left w:w="0" w:type="dxa"/>
                    <w:bottom w:w="0" w:type="dxa"/>
                    <w:right w:w="0" w:type="dxa"/>
                  </w:tcMar>
                  <w:vAlign w:val="center"/>
                </w:tcPr>
                <w:p w14:paraId="7AEDC579">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污染物种类</w:t>
                  </w:r>
                </w:p>
              </w:tc>
              <w:tc>
                <w:tcPr>
                  <w:tcW w:w="2100" w:type="dxa"/>
                  <w:gridSpan w:val="2"/>
                  <w:tcBorders>
                    <w:tl2br w:val="nil"/>
                    <w:tr2bl w:val="nil"/>
                  </w:tcBorders>
                  <w:tcMar>
                    <w:top w:w="0" w:type="dxa"/>
                    <w:left w:w="0" w:type="dxa"/>
                    <w:bottom w:w="0" w:type="dxa"/>
                    <w:right w:w="0" w:type="dxa"/>
                  </w:tcMar>
                  <w:vAlign w:val="center"/>
                </w:tcPr>
                <w:p w14:paraId="062DF966">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排放口地理坐标</w:t>
                  </w:r>
                </w:p>
              </w:tc>
              <w:tc>
                <w:tcPr>
                  <w:tcW w:w="966" w:type="dxa"/>
                  <w:vMerge w:val="restart"/>
                  <w:tcBorders>
                    <w:tl2br w:val="nil"/>
                    <w:tr2bl w:val="nil"/>
                  </w:tcBorders>
                  <w:tcMar>
                    <w:top w:w="0" w:type="dxa"/>
                    <w:left w:w="0" w:type="dxa"/>
                    <w:bottom w:w="0" w:type="dxa"/>
                    <w:right w:w="0" w:type="dxa"/>
                  </w:tcMar>
                  <w:vAlign w:val="center"/>
                </w:tcPr>
                <w:p w14:paraId="657D5366">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排气筒高度（m）</w:t>
                  </w:r>
                </w:p>
              </w:tc>
              <w:tc>
                <w:tcPr>
                  <w:tcW w:w="996" w:type="dxa"/>
                  <w:vMerge w:val="restart"/>
                  <w:tcBorders>
                    <w:tl2br w:val="nil"/>
                    <w:tr2bl w:val="nil"/>
                  </w:tcBorders>
                  <w:tcMar>
                    <w:top w:w="0" w:type="dxa"/>
                    <w:left w:w="0" w:type="dxa"/>
                    <w:bottom w:w="0" w:type="dxa"/>
                    <w:right w:w="0" w:type="dxa"/>
                  </w:tcMar>
                  <w:vAlign w:val="center"/>
                </w:tcPr>
                <w:p w14:paraId="1D21331B">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排气筒出口内径（m）</w:t>
                  </w:r>
                </w:p>
              </w:tc>
              <w:tc>
                <w:tcPr>
                  <w:tcW w:w="661" w:type="dxa"/>
                  <w:vMerge w:val="restart"/>
                  <w:tcBorders>
                    <w:tl2br w:val="nil"/>
                    <w:tr2bl w:val="nil"/>
                  </w:tcBorders>
                  <w:tcMar>
                    <w:top w:w="0" w:type="dxa"/>
                    <w:left w:w="0" w:type="dxa"/>
                    <w:bottom w:w="0" w:type="dxa"/>
                    <w:right w:w="0" w:type="dxa"/>
                  </w:tcMar>
                  <w:vAlign w:val="center"/>
                </w:tcPr>
                <w:p w14:paraId="35665645">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排气温度(℃)</w:t>
                  </w:r>
                </w:p>
              </w:tc>
              <w:tc>
                <w:tcPr>
                  <w:tcW w:w="672" w:type="dxa"/>
                  <w:vMerge w:val="restart"/>
                  <w:tcBorders>
                    <w:tl2br w:val="nil"/>
                    <w:tr2bl w:val="nil"/>
                  </w:tcBorders>
                  <w:tcMar>
                    <w:top w:w="0" w:type="dxa"/>
                    <w:left w:w="0" w:type="dxa"/>
                    <w:bottom w:w="0" w:type="dxa"/>
                    <w:right w:w="0" w:type="dxa"/>
                  </w:tcMar>
                  <w:vAlign w:val="center"/>
                </w:tcPr>
                <w:p w14:paraId="5DC86F12">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排放口类型</w:t>
                  </w:r>
                </w:p>
              </w:tc>
            </w:tr>
            <w:tr w14:paraId="07BB7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35" w:type="dxa"/>
                  <w:vMerge w:val="continue"/>
                  <w:tcBorders>
                    <w:tl2br w:val="nil"/>
                    <w:tr2bl w:val="nil"/>
                  </w:tcBorders>
                  <w:tcMar>
                    <w:top w:w="0" w:type="dxa"/>
                    <w:left w:w="0" w:type="dxa"/>
                    <w:bottom w:w="0" w:type="dxa"/>
                    <w:right w:w="0" w:type="dxa"/>
                  </w:tcMar>
                  <w:vAlign w:val="center"/>
                </w:tcPr>
                <w:p w14:paraId="0992D5E3">
                  <w:pPr>
                    <w:pStyle w:val="24"/>
                    <w:rPr>
                      <w:rFonts w:hint="default" w:ascii="Times New Roman" w:hAnsi="Times New Roman" w:cs="Times New Roman"/>
                      <w:b/>
                      <w:bCs/>
                      <w:sz w:val="18"/>
                      <w:szCs w:val="18"/>
                      <w:lang w:val="en-US" w:eastAsia="zh-CN"/>
                    </w:rPr>
                  </w:pPr>
                </w:p>
              </w:tc>
              <w:tc>
                <w:tcPr>
                  <w:tcW w:w="662" w:type="dxa"/>
                  <w:vMerge w:val="continue"/>
                  <w:tcBorders>
                    <w:tl2br w:val="nil"/>
                    <w:tr2bl w:val="nil"/>
                  </w:tcBorders>
                  <w:tcMar>
                    <w:top w:w="0" w:type="dxa"/>
                    <w:left w:w="0" w:type="dxa"/>
                    <w:bottom w:w="0" w:type="dxa"/>
                    <w:right w:w="0" w:type="dxa"/>
                  </w:tcMar>
                  <w:vAlign w:val="center"/>
                </w:tcPr>
                <w:p w14:paraId="5E194709">
                  <w:pPr>
                    <w:pStyle w:val="24"/>
                    <w:rPr>
                      <w:rFonts w:hint="default" w:ascii="Times New Roman" w:hAnsi="Times New Roman" w:cs="Times New Roman"/>
                      <w:b/>
                      <w:bCs/>
                      <w:sz w:val="18"/>
                      <w:szCs w:val="18"/>
                      <w:lang w:val="en-US" w:eastAsia="zh-CN"/>
                    </w:rPr>
                  </w:pPr>
                </w:p>
              </w:tc>
              <w:tc>
                <w:tcPr>
                  <w:tcW w:w="1387" w:type="dxa"/>
                  <w:vMerge w:val="continue"/>
                  <w:tcBorders>
                    <w:tl2br w:val="nil"/>
                    <w:tr2bl w:val="nil"/>
                  </w:tcBorders>
                  <w:tcMar>
                    <w:top w:w="0" w:type="dxa"/>
                    <w:left w:w="0" w:type="dxa"/>
                    <w:bottom w:w="0" w:type="dxa"/>
                    <w:right w:w="0" w:type="dxa"/>
                  </w:tcMar>
                  <w:vAlign w:val="center"/>
                </w:tcPr>
                <w:p w14:paraId="23E3F5A3">
                  <w:pPr>
                    <w:pStyle w:val="24"/>
                    <w:rPr>
                      <w:rFonts w:hint="default" w:ascii="Times New Roman" w:hAnsi="Times New Roman" w:cs="Times New Roman"/>
                      <w:b/>
                      <w:bCs/>
                      <w:sz w:val="18"/>
                      <w:szCs w:val="18"/>
                      <w:lang w:val="en-US" w:eastAsia="zh-CN"/>
                    </w:rPr>
                  </w:pPr>
                </w:p>
              </w:tc>
              <w:tc>
                <w:tcPr>
                  <w:tcW w:w="1041" w:type="dxa"/>
                  <w:tcBorders>
                    <w:tl2br w:val="nil"/>
                    <w:tr2bl w:val="nil"/>
                  </w:tcBorders>
                  <w:tcMar>
                    <w:top w:w="0" w:type="dxa"/>
                    <w:left w:w="0" w:type="dxa"/>
                    <w:bottom w:w="0" w:type="dxa"/>
                    <w:right w:w="0" w:type="dxa"/>
                  </w:tcMar>
                  <w:vAlign w:val="center"/>
                </w:tcPr>
                <w:p w14:paraId="36655F2C">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经度（°）</w:t>
                  </w:r>
                </w:p>
              </w:tc>
              <w:tc>
                <w:tcPr>
                  <w:tcW w:w="1059" w:type="dxa"/>
                  <w:tcBorders>
                    <w:tl2br w:val="nil"/>
                    <w:tr2bl w:val="nil"/>
                  </w:tcBorders>
                  <w:tcMar>
                    <w:top w:w="0" w:type="dxa"/>
                    <w:left w:w="0" w:type="dxa"/>
                    <w:bottom w:w="0" w:type="dxa"/>
                    <w:right w:w="0" w:type="dxa"/>
                  </w:tcMar>
                  <w:vAlign w:val="center"/>
                </w:tcPr>
                <w:p w14:paraId="7E4C6F6F">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纬度（°）</w:t>
                  </w:r>
                </w:p>
              </w:tc>
              <w:tc>
                <w:tcPr>
                  <w:tcW w:w="966" w:type="dxa"/>
                  <w:vMerge w:val="continue"/>
                  <w:tcBorders>
                    <w:tl2br w:val="nil"/>
                    <w:tr2bl w:val="nil"/>
                  </w:tcBorders>
                  <w:tcMar>
                    <w:top w:w="0" w:type="dxa"/>
                    <w:left w:w="0" w:type="dxa"/>
                    <w:bottom w:w="0" w:type="dxa"/>
                    <w:right w:w="0" w:type="dxa"/>
                  </w:tcMar>
                  <w:vAlign w:val="center"/>
                </w:tcPr>
                <w:p w14:paraId="65061A49">
                  <w:pPr>
                    <w:pStyle w:val="24"/>
                    <w:rPr>
                      <w:rFonts w:hint="default" w:ascii="Times New Roman" w:hAnsi="Times New Roman" w:cs="Times New Roman"/>
                      <w:b/>
                      <w:bCs/>
                      <w:sz w:val="18"/>
                      <w:szCs w:val="18"/>
                      <w:lang w:val="en-US" w:eastAsia="zh-CN"/>
                    </w:rPr>
                  </w:pPr>
                </w:p>
              </w:tc>
              <w:tc>
                <w:tcPr>
                  <w:tcW w:w="996" w:type="dxa"/>
                  <w:vMerge w:val="continue"/>
                  <w:tcBorders>
                    <w:tl2br w:val="nil"/>
                    <w:tr2bl w:val="nil"/>
                  </w:tcBorders>
                  <w:tcMar>
                    <w:top w:w="0" w:type="dxa"/>
                    <w:left w:w="0" w:type="dxa"/>
                    <w:bottom w:w="0" w:type="dxa"/>
                    <w:right w:w="0" w:type="dxa"/>
                  </w:tcMar>
                  <w:vAlign w:val="center"/>
                </w:tcPr>
                <w:p w14:paraId="06E79F2D">
                  <w:pPr>
                    <w:pStyle w:val="24"/>
                    <w:rPr>
                      <w:rFonts w:hint="default" w:ascii="Times New Roman" w:hAnsi="Times New Roman" w:cs="Times New Roman"/>
                      <w:b/>
                      <w:bCs/>
                      <w:sz w:val="18"/>
                      <w:szCs w:val="18"/>
                      <w:lang w:val="en-US" w:eastAsia="zh-CN"/>
                    </w:rPr>
                  </w:pPr>
                </w:p>
              </w:tc>
              <w:tc>
                <w:tcPr>
                  <w:tcW w:w="661" w:type="dxa"/>
                  <w:vMerge w:val="continue"/>
                  <w:tcBorders>
                    <w:tl2br w:val="nil"/>
                    <w:tr2bl w:val="nil"/>
                  </w:tcBorders>
                  <w:tcMar>
                    <w:top w:w="0" w:type="dxa"/>
                    <w:left w:w="0" w:type="dxa"/>
                    <w:bottom w:w="0" w:type="dxa"/>
                    <w:right w:w="0" w:type="dxa"/>
                  </w:tcMar>
                  <w:vAlign w:val="center"/>
                </w:tcPr>
                <w:p w14:paraId="71DD0DE3">
                  <w:pPr>
                    <w:pStyle w:val="24"/>
                    <w:rPr>
                      <w:rFonts w:hint="default" w:ascii="Times New Roman" w:hAnsi="Times New Roman" w:cs="Times New Roman"/>
                      <w:b/>
                      <w:bCs/>
                      <w:sz w:val="18"/>
                      <w:szCs w:val="18"/>
                      <w:lang w:val="en-US" w:eastAsia="zh-CN"/>
                    </w:rPr>
                  </w:pPr>
                </w:p>
              </w:tc>
              <w:tc>
                <w:tcPr>
                  <w:tcW w:w="672" w:type="dxa"/>
                  <w:vMerge w:val="continue"/>
                  <w:tcBorders>
                    <w:tl2br w:val="nil"/>
                    <w:tr2bl w:val="nil"/>
                  </w:tcBorders>
                  <w:tcMar>
                    <w:top w:w="0" w:type="dxa"/>
                    <w:left w:w="0" w:type="dxa"/>
                    <w:bottom w:w="0" w:type="dxa"/>
                    <w:right w:w="0" w:type="dxa"/>
                  </w:tcMar>
                  <w:vAlign w:val="center"/>
                </w:tcPr>
                <w:p w14:paraId="21454ED8">
                  <w:pPr>
                    <w:pStyle w:val="24"/>
                    <w:rPr>
                      <w:rFonts w:hint="default" w:ascii="Times New Roman" w:hAnsi="Times New Roman" w:cs="Times New Roman"/>
                      <w:b/>
                      <w:bCs/>
                      <w:sz w:val="18"/>
                      <w:szCs w:val="18"/>
                      <w:lang w:val="en-US" w:eastAsia="zh-CN"/>
                    </w:rPr>
                  </w:pPr>
                </w:p>
              </w:tc>
            </w:tr>
            <w:tr w14:paraId="5AC37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835" w:type="dxa"/>
                  <w:tcBorders>
                    <w:tl2br w:val="nil"/>
                    <w:tr2bl w:val="nil"/>
                  </w:tcBorders>
                  <w:tcMar>
                    <w:top w:w="0" w:type="dxa"/>
                    <w:left w:w="0" w:type="dxa"/>
                    <w:bottom w:w="0" w:type="dxa"/>
                    <w:right w:w="0" w:type="dxa"/>
                  </w:tcMar>
                  <w:vAlign w:val="center"/>
                </w:tcPr>
                <w:p w14:paraId="207CA031">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DA001</w:t>
                  </w:r>
                </w:p>
              </w:tc>
              <w:tc>
                <w:tcPr>
                  <w:tcW w:w="662" w:type="dxa"/>
                  <w:tcBorders>
                    <w:tl2br w:val="nil"/>
                    <w:tr2bl w:val="nil"/>
                  </w:tcBorders>
                  <w:tcMar>
                    <w:top w:w="0" w:type="dxa"/>
                    <w:left w:w="0" w:type="dxa"/>
                    <w:bottom w:w="0" w:type="dxa"/>
                    <w:right w:w="0" w:type="dxa"/>
                  </w:tcMar>
                  <w:vAlign w:val="center"/>
                </w:tcPr>
                <w:p w14:paraId="59E7B078">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1#废气排放口</w:t>
                  </w:r>
                </w:p>
              </w:tc>
              <w:tc>
                <w:tcPr>
                  <w:tcW w:w="1387" w:type="dxa"/>
                  <w:tcBorders>
                    <w:tl2br w:val="nil"/>
                    <w:tr2bl w:val="nil"/>
                  </w:tcBorders>
                  <w:tcMar>
                    <w:top w:w="0" w:type="dxa"/>
                    <w:left w:w="0" w:type="dxa"/>
                    <w:bottom w:w="0" w:type="dxa"/>
                    <w:right w:w="0" w:type="dxa"/>
                  </w:tcMar>
                  <w:vAlign w:val="center"/>
                </w:tcPr>
                <w:p w14:paraId="58EFB4A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颗粒物、非甲烷总烃、甲苯、二甲苯、</w:t>
                  </w:r>
                  <w:r>
                    <w:rPr>
                      <w:rFonts w:hint="default" w:ascii="Times New Roman" w:hAnsi="Times New Roman" w:eastAsia="宋体" w:cs="Times New Roman"/>
                      <w:i w:val="0"/>
                      <w:iCs w:val="0"/>
                      <w:color w:val="000000"/>
                      <w:kern w:val="0"/>
                      <w:sz w:val="18"/>
                      <w:szCs w:val="18"/>
                      <w:u w:val="none"/>
                      <w:lang w:val="en-US" w:eastAsia="zh-CN" w:bidi="ar"/>
                    </w:rPr>
                    <w:t>乙酸乙酯和乙酸丁酯合计</w:t>
                  </w:r>
                </w:p>
              </w:tc>
              <w:tc>
                <w:tcPr>
                  <w:tcW w:w="1041" w:type="dxa"/>
                  <w:tcBorders>
                    <w:tl2br w:val="nil"/>
                    <w:tr2bl w:val="nil"/>
                  </w:tcBorders>
                  <w:tcMar>
                    <w:top w:w="0" w:type="dxa"/>
                    <w:left w:w="0" w:type="dxa"/>
                    <w:bottom w:w="0" w:type="dxa"/>
                    <w:right w:w="0" w:type="dxa"/>
                  </w:tcMar>
                  <w:vAlign w:val="center"/>
                </w:tcPr>
                <w:p w14:paraId="70ECC5A3">
                  <w:pPr>
                    <w:ind w:left="0" w:leftChars="0" w:firstLine="0" w:firstLineChars="0"/>
                    <w:jc w:val="center"/>
                    <w:rPr>
                      <w:rFonts w:hint="default" w:ascii="Times New Roman" w:hAnsi="Times New Roman" w:cs="Times New Roman"/>
                      <w:sz w:val="18"/>
                      <w:szCs w:val="18"/>
                      <w:highlight w:val="yellow"/>
                      <w:lang w:val="en-US" w:eastAsia="zh-CN"/>
                    </w:rPr>
                  </w:pPr>
                  <w:r>
                    <w:rPr>
                      <w:rFonts w:hint="default" w:ascii="Times New Roman" w:hAnsi="Times New Roman" w:cs="Times New Roman"/>
                      <w:sz w:val="18"/>
                      <w:szCs w:val="18"/>
                    </w:rPr>
                    <w:t>119°8′3.43″</w:t>
                  </w:r>
                </w:p>
              </w:tc>
              <w:tc>
                <w:tcPr>
                  <w:tcW w:w="1059" w:type="dxa"/>
                  <w:tcBorders>
                    <w:tl2br w:val="nil"/>
                    <w:tr2bl w:val="nil"/>
                  </w:tcBorders>
                  <w:tcMar>
                    <w:top w:w="0" w:type="dxa"/>
                    <w:left w:w="0" w:type="dxa"/>
                    <w:bottom w:w="0" w:type="dxa"/>
                    <w:right w:w="0" w:type="dxa"/>
                  </w:tcMar>
                  <w:vAlign w:val="center"/>
                </w:tcPr>
                <w:p w14:paraId="46AA7E2A">
                  <w:pPr>
                    <w:ind w:left="0" w:leftChars="0" w:firstLine="0" w:firstLineChars="0"/>
                    <w:jc w:val="center"/>
                    <w:rPr>
                      <w:rFonts w:hint="default" w:ascii="Times New Roman" w:hAnsi="Times New Roman" w:cs="Times New Roman"/>
                      <w:sz w:val="18"/>
                      <w:szCs w:val="18"/>
                      <w:highlight w:val="yellow"/>
                      <w:lang w:val="en-US" w:eastAsia="zh-CN"/>
                    </w:rPr>
                  </w:pPr>
                  <w:r>
                    <w:rPr>
                      <w:rFonts w:hint="default" w:ascii="Times New Roman" w:hAnsi="Times New Roman" w:cs="Times New Roman"/>
                      <w:sz w:val="18"/>
                      <w:szCs w:val="18"/>
                    </w:rPr>
                    <w:t>25°15′55.431″</w:t>
                  </w:r>
                </w:p>
              </w:tc>
              <w:tc>
                <w:tcPr>
                  <w:tcW w:w="966" w:type="dxa"/>
                  <w:tcBorders>
                    <w:tl2br w:val="nil"/>
                    <w:tr2bl w:val="nil"/>
                  </w:tcBorders>
                  <w:tcMar>
                    <w:top w:w="0" w:type="dxa"/>
                    <w:left w:w="0" w:type="dxa"/>
                    <w:bottom w:w="0" w:type="dxa"/>
                    <w:right w:w="0" w:type="dxa"/>
                  </w:tcMar>
                  <w:vAlign w:val="center"/>
                </w:tcPr>
                <w:p w14:paraId="5BC064A4">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15</w:t>
                  </w:r>
                </w:p>
              </w:tc>
              <w:tc>
                <w:tcPr>
                  <w:tcW w:w="996" w:type="dxa"/>
                  <w:tcBorders>
                    <w:tl2br w:val="nil"/>
                    <w:tr2bl w:val="nil"/>
                  </w:tcBorders>
                  <w:tcMar>
                    <w:top w:w="0" w:type="dxa"/>
                    <w:left w:w="0" w:type="dxa"/>
                    <w:bottom w:w="0" w:type="dxa"/>
                    <w:right w:w="0" w:type="dxa"/>
                  </w:tcMar>
                  <w:vAlign w:val="center"/>
                </w:tcPr>
                <w:p w14:paraId="4DA546C0">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w:t>
                  </w:r>
                  <w:r>
                    <w:rPr>
                      <w:rFonts w:hint="eastAsia" w:ascii="Times New Roman" w:hAnsi="Times New Roman" w:cs="Times New Roman"/>
                      <w:sz w:val="18"/>
                      <w:szCs w:val="18"/>
                      <w:lang w:val="en-US" w:eastAsia="zh-CN"/>
                    </w:rPr>
                    <w:t>8</w:t>
                  </w:r>
                </w:p>
              </w:tc>
              <w:tc>
                <w:tcPr>
                  <w:tcW w:w="661" w:type="dxa"/>
                  <w:tcBorders>
                    <w:tl2br w:val="nil"/>
                    <w:tr2bl w:val="nil"/>
                  </w:tcBorders>
                  <w:tcMar>
                    <w:top w:w="0" w:type="dxa"/>
                    <w:left w:w="0" w:type="dxa"/>
                    <w:bottom w:w="0" w:type="dxa"/>
                    <w:right w:w="0" w:type="dxa"/>
                  </w:tcMar>
                  <w:vAlign w:val="center"/>
                </w:tcPr>
                <w:p w14:paraId="174F1C5E">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常温</w:t>
                  </w:r>
                </w:p>
              </w:tc>
              <w:tc>
                <w:tcPr>
                  <w:tcW w:w="672" w:type="dxa"/>
                  <w:tcBorders>
                    <w:tl2br w:val="nil"/>
                    <w:tr2bl w:val="nil"/>
                  </w:tcBorders>
                  <w:tcMar>
                    <w:top w:w="0" w:type="dxa"/>
                    <w:left w:w="0" w:type="dxa"/>
                    <w:bottom w:w="0" w:type="dxa"/>
                    <w:right w:w="0" w:type="dxa"/>
                  </w:tcMar>
                  <w:vAlign w:val="center"/>
                </w:tcPr>
                <w:p w14:paraId="359AAA9F">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一般排放口</w:t>
                  </w:r>
                </w:p>
              </w:tc>
            </w:tr>
          </w:tbl>
          <w:p w14:paraId="54C50992">
            <w:pPr>
              <w:pStyle w:val="15"/>
              <w:spacing w:line="360" w:lineRule="auto"/>
              <w:rPr>
                <w:rFonts w:hint="default" w:eastAsia="宋体"/>
                <w:lang w:val="en-US" w:eastAsia="zh-CN"/>
              </w:rPr>
            </w:pPr>
          </w:p>
        </w:tc>
      </w:tr>
    </w:tbl>
    <w:p w14:paraId="20CD049C">
      <w:pPr>
        <w:jc w:val="center"/>
        <w:rPr>
          <w:rFonts w:hint="eastAsia" w:ascii="黑体" w:hAnsi="黑体" w:eastAsia="黑体" w:cs="黑体"/>
          <w:b w:val="0"/>
          <w:bCs w:val="0"/>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3822"/>
      </w:tblGrid>
      <w:tr w14:paraId="7286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1" w:hRule="atLeast"/>
        </w:trPr>
        <w:tc>
          <w:tcPr>
            <w:tcW w:w="352" w:type="dxa"/>
            <w:vAlign w:val="center"/>
          </w:tcPr>
          <w:p w14:paraId="32E93E4B">
            <w:pPr>
              <w:pStyle w:val="16"/>
              <w:ind w:left="0" w:leftChars="0" w:firstLine="0" w:firstLineChars="0"/>
              <w:jc w:val="center"/>
              <w:rPr>
                <w:rFonts w:hint="default"/>
                <w:lang w:val="en-US" w:eastAsia="zh-CN"/>
              </w:rPr>
            </w:pPr>
            <w:r>
              <w:rPr>
                <w:rFonts w:hint="eastAsia"/>
                <w:lang w:val="en-US" w:eastAsia="zh-CN"/>
              </w:rPr>
              <w:t>运营期环境保护措施</w:t>
            </w:r>
          </w:p>
        </w:tc>
        <w:tc>
          <w:tcPr>
            <w:tcW w:w="13822" w:type="dxa"/>
            <w:vAlign w:val="top"/>
          </w:tcPr>
          <w:p w14:paraId="0E0793FE">
            <w:pPr>
              <w:pStyle w:val="15"/>
              <w:keepNext w:val="0"/>
              <w:keepLines w:val="0"/>
              <w:pageBreakBefore w:val="0"/>
              <w:widowControl/>
              <w:kinsoku/>
              <w:wordWrap/>
              <w:overflowPunct/>
              <w:topLinePunct w:val="0"/>
              <w:autoSpaceDE/>
              <w:autoSpaceDN/>
              <w:bidi w:val="0"/>
              <w:adjustRightInd/>
              <w:snapToGrid w:val="0"/>
              <w:spacing w:before="157" w:beforeLines="50"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表4-</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项目废气产排情况一览表</w:t>
            </w:r>
          </w:p>
          <w:tbl>
            <w:tblPr>
              <w:tblStyle w:val="17"/>
              <w:tblW w:w="0" w:type="auto"/>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30"/>
              <w:gridCol w:w="943"/>
              <w:gridCol w:w="1420"/>
              <w:gridCol w:w="939"/>
              <w:gridCol w:w="1402"/>
              <w:gridCol w:w="815"/>
              <w:gridCol w:w="815"/>
              <w:gridCol w:w="815"/>
              <w:gridCol w:w="815"/>
              <w:gridCol w:w="815"/>
              <w:gridCol w:w="815"/>
              <w:gridCol w:w="815"/>
              <w:gridCol w:w="815"/>
              <w:gridCol w:w="1042"/>
            </w:tblGrid>
            <w:tr w14:paraId="10D4B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1030" w:type="dxa"/>
                  <w:vMerge w:val="restart"/>
                  <w:tcBorders>
                    <w:tl2br w:val="nil"/>
                    <w:tr2bl w:val="nil"/>
                  </w:tcBorders>
                  <w:shd w:val="clear" w:color="auto" w:fill="auto"/>
                  <w:noWrap/>
                  <w:vAlign w:val="center"/>
                </w:tcPr>
                <w:p w14:paraId="7D51F2C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污染源</w:t>
                  </w:r>
                </w:p>
              </w:tc>
              <w:tc>
                <w:tcPr>
                  <w:tcW w:w="943" w:type="dxa"/>
                  <w:vMerge w:val="restart"/>
                  <w:tcBorders>
                    <w:tl2br w:val="nil"/>
                    <w:tr2bl w:val="nil"/>
                  </w:tcBorders>
                  <w:shd w:val="clear" w:color="auto" w:fill="auto"/>
                  <w:noWrap/>
                  <w:vAlign w:val="center"/>
                </w:tcPr>
                <w:p w14:paraId="6434FF0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排放口</w:t>
                  </w:r>
                </w:p>
              </w:tc>
              <w:tc>
                <w:tcPr>
                  <w:tcW w:w="1420" w:type="dxa"/>
                  <w:vMerge w:val="restart"/>
                  <w:tcBorders>
                    <w:tl2br w:val="nil"/>
                    <w:tr2bl w:val="nil"/>
                  </w:tcBorders>
                  <w:shd w:val="clear" w:color="auto" w:fill="auto"/>
                  <w:noWrap/>
                  <w:vAlign w:val="center"/>
                </w:tcPr>
                <w:p w14:paraId="62C3FB2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污染因子</w:t>
                  </w:r>
                </w:p>
              </w:tc>
              <w:tc>
                <w:tcPr>
                  <w:tcW w:w="939" w:type="dxa"/>
                  <w:vMerge w:val="restart"/>
                  <w:tcBorders>
                    <w:tl2br w:val="nil"/>
                    <w:tr2bl w:val="nil"/>
                  </w:tcBorders>
                  <w:shd w:val="clear" w:color="auto" w:fill="auto"/>
                  <w:vAlign w:val="center"/>
                </w:tcPr>
                <w:p w14:paraId="3E59A4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污染物产生量t/a</w:t>
                  </w:r>
                </w:p>
              </w:tc>
              <w:tc>
                <w:tcPr>
                  <w:tcW w:w="4662" w:type="dxa"/>
                  <w:gridSpan w:val="5"/>
                  <w:tcBorders>
                    <w:tl2br w:val="nil"/>
                    <w:tr2bl w:val="nil"/>
                  </w:tcBorders>
                  <w:shd w:val="clear" w:color="auto" w:fill="auto"/>
                  <w:noWrap/>
                  <w:vAlign w:val="center"/>
                </w:tcPr>
                <w:p w14:paraId="706D67D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治理设施</w:t>
                  </w:r>
                </w:p>
              </w:tc>
              <w:tc>
                <w:tcPr>
                  <w:tcW w:w="1630" w:type="dxa"/>
                  <w:gridSpan w:val="2"/>
                  <w:tcBorders>
                    <w:tl2br w:val="nil"/>
                    <w:tr2bl w:val="nil"/>
                  </w:tcBorders>
                  <w:shd w:val="clear" w:color="auto" w:fill="auto"/>
                  <w:noWrap/>
                  <w:vAlign w:val="center"/>
                </w:tcPr>
                <w:p w14:paraId="5BFAA87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无组织排放情况</w:t>
                  </w:r>
                </w:p>
              </w:tc>
              <w:tc>
                <w:tcPr>
                  <w:tcW w:w="2672" w:type="dxa"/>
                  <w:gridSpan w:val="3"/>
                  <w:tcBorders>
                    <w:tl2br w:val="nil"/>
                    <w:tr2bl w:val="nil"/>
                  </w:tcBorders>
                  <w:shd w:val="clear" w:color="auto" w:fill="auto"/>
                  <w:noWrap/>
                  <w:vAlign w:val="center"/>
                </w:tcPr>
                <w:p w14:paraId="74A05B3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有组织排放情况</w:t>
                  </w:r>
                </w:p>
              </w:tc>
            </w:tr>
            <w:tr w14:paraId="582BA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1030" w:type="dxa"/>
                  <w:vMerge w:val="continue"/>
                  <w:tcBorders>
                    <w:tl2br w:val="nil"/>
                    <w:tr2bl w:val="nil"/>
                  </w:tcBorders>
                  <w:shd w:val="clear" w:color="auto" w:fill="auto"/>
                  <w:noWrap/>
                  <w:vAlign w:val="center"/>
                </w:tcPr>
                <w:p w14:paraId="04847925">
                  <w:pPr>
                    <w:jc w:val="center"/>
                    <w:rPr>
                      <w:rFonts w:hint="default" w:ascii="Times New Roman" w:hAnsi="Times New Roman" w:eastAsia="宋体" w:cs="Times New Roman"/>
                      <w:b/>
                      <w:bCs/>
                      <w:i w:val="0"/>
                      <w:iCs w:val="0"/>
                      <w:color w:val="000000"/>
                      <w:sz w:val="18"/>
                      <w:szCs w:val="18"/>
                      <w:u w:val="none"/>
                    </w:rPr>
                  </w:pPr>
                </w:p>
              </w:tc>
              <w:tc>
                <w:tcPr>
                  <w:tcW w:w="943" w:type="dxa"/>
                  <w:vMerge w:val="continue"/>
                  <w:tcBorders>
                    <w:tl2br w:val="nil"/>
                    <w:tr2bl w:val="nil"/>
                  </w:tcBorders>
                  <w:shd w:val="clear" w:color="auto" w:fill="auto"/>
                  <w:noWrap/>
                  <w:vAlign w:val="center"/>
                </w:tcPr>
                <w:p w14:paraId="475551D1">
                  <w:pPr>
                    <w:jc w:val="center"/>
                    <w:rPr>
                      <w:rFonts w:hint="default" w:ascii="Times New Roman" w:hAnsi="Times New Roman" w:eastAsia="宋体" w:cs="Times New Roman"/>
                      <w:b/>
                      <w:bCs/>
                      <w:i w:val="0"/>
                      <w:iCs w:val="0"/>
                      <w:color w:val="000000"/>
                      <w:sz w:val="18"/>
                      <w:szCs w:val="18"/>
                      <w:u w:val="none"/>
                    </w:rPr>
                  </w:pPr>
                </w:p>
              </w:tc>
              <w:tc>
                <w:tcPr>
                  <w:tcW w:w="1420" w:type="dxa"/>
                  <w:vMerge w:val="continue"/>
                  <w:tcBorders>
                    <w:tl2br w:val="nil"/>
                    <w:tr2bl w:val="nil"/>
                  </w:tcBorders>
                  <w:shd w:val="clear" w:color="auto" w:fill="auto"/>
                  <w:noWrap/>
                  <w:vAlign w:val="center"/>
                </w:tcPr>
                <w:p w14:paraId="17F24C8F">
                  <w:pPr>
                    <w:jc w:val="center"/>
                    <w:rPr>
                      <w:rFonts w:hint="default" w:ascii="Times New Roman" w:hAnsi="Times New Roman" w:eastAsia="宋体" w:cs="Times New Roman"/>
                      <w:b/>
                      <w:bCs/>
                      <w:i w:val="0"/>
                      <w:iCs w:val="0"/>
                      <w:color w:val="000000"/>
                      <w:sz w:val="18"/>
                      <w:szCs w:val="18"/>
                      <w:u w:val="none"/>
                    </w:rPr>
                  </w:pPr>
                </w:p>
              </w:tc>
              <w:tc>
                <w:tcPr>
                  <w:tcW w:w="939" w:type="dxa"/>
                  <w:vMerge w:val="continue"/>
                  <w:tcBorders>
                    <w:tl2br w:val="nil"/>
                    <w:tr2bl w:val="nil"/>
                  </w:tcBorders>
                  <w:shd w:val="clear" w:color="auto" w:fill="auto"/>
                  <w:vAlign w:val="center"/>
                </w:tcPr>
                <w:p w14:paraId="51777D4E">
                  <w:pPr>
                    <w:jc w:val="center"/>
                    <w:rPr>
                      <w:rFonts w:hint="default" w:ascii="Times New Roman" w:hAnsi="Times New Roman" w:eastAsia="宋体" w:cs="Times New Roman"/>
                      <w:b/>
                      <w:bCs/>
                      <w:i w:val="0"/>
                      <w:iCs w:val="0"/>
                      <w:color w:val="000000"/>
                      <w:sz w:val="18"/>
                      <w:szCs w:val="18"/>
                      <w:u w:val="none"/>
                    </w:rPr>
                  </w:pPr>
                </w:p>
              </w:tc>
              <w:tc>
                <w:tcPr>
                  <w:tcW w:w="1402" w:type="dxa"/>
                  <w:tcBorders>
                    <w:tl2br w:val="nil"/>
                    <w:tr2bl w:val="nil"/>
                  </w:tcBorders>
                  <w:shd w:val="clear" w:color="auto" w:fill="auto"/>
                  <w:vAlign w:val="center"/>
                </w:tcPr>
                <w:p w14:paraId="3824072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处理工艺</w:t>
                  </w:r>
                </w:p>
              </w:tc>
              <w:tc>
                <w:tcPr>
                  <w:tcW w:w="815" w:type="dxa"/>
                  <w:tcBorders>
                    <w:tl2br w:val="nil"/>
                    <w:tr2bl w:val="nil"/>
                  </w:tcBorders>
                  <w:shd w:val="clear" w:color="auto" w:fill="auto"/>
                  <w:vAlign w:val="center"/>
                </w:tcPr>
                <w:p w14:paraId="09A836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风机风量m</w:t>
                  </w:r>
                  <w:r>
                    <w:rPr>
                      <w:rFonts w:hint="default" w:ascii="Times New Roman" w:hAnsi="Times New Roman" w:eastAsia="宋体" w:cs="Times New Roman"/>
                      <w:b/>
                      <w:bCs/>
                      <w:i w:val="0"/>
                      <w:iCs w:val="0"/>
                      <w:color w:val="000000"/>
                      <w:kern w:val="0"/>
                      <w:sz w:val="18"/>
                      <w:szCs w:val="18"/>
                      <w:u w:val="none"/>
                      <w:vertAlign w:val="superscript"/>
                      <w:lang w:val="en-US" w:eastAsia="zh-CN" w:bidi="ar"/>
                    </w:rPr>
                    <w:t>3</w:t>
                  </w:r>
                  <w:r>
                    <w:rPr>
                      <w:rFonts w:hint="default" w:ascii="Times New Roman" w:hAnsi="Times New Roman" w:eastAsia="宋体" w:cs="Times New Roman"/>
                      <w:b/>
                      <w:bCs/>
                      <w:i w:val="0"/>
                      <w:iCs w:val="0"/>
                      <w:color w:val="000000"/>
                      <w:kern w:val="0"/>
                      <w:sz w:val="18"/>
                      <w:szCs w:val="18"/>
                      <w:u w:val="none"/>
                      <w:lang w:val="en-US" w:eastAsia="zh-CN" w:bidi="ar"/>
                    </w:rPr>
                    <w:t>/h</w:t>
                  </w:r>
                </w:p>
              </w:tc>
              <w:tc>
                <w:tcPr>
                  <w:tcW w:w="815" w:type="dxa"/>
                  <w:tcBorders>
                    <w:tl2br w:val="nil"/>
                    <w:tr2bl w:val="nil"/>
                  </w:tcBorders>
                  <w:shd w:val="clear" w:color="auto" w:fill="auto"/>
                  <w:vAlign w:val="center"/>
                </w:tcPr>
                <w:p w14:paraId="65725FF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收集率%</w:t>
                  </w:r>
                </w:p>
              </w:tc>
              <w:tc>
                <w:tcPr>
                  <w:tcW w:w="815" w:type="dxa"/>
                  <w:tcBorders>
                    <w:tl2br w:val="nil"/>
                    <w:tr2bl w:val="nil"/>
                  </w:tcBorders>
                  <w:shd w:val="clear" w:color="auto" w:fill="auto"/>
                  <w:vAlign w:val="center"/>
                </w:tcPr>
                <w:p w14:paraId="5FD6B68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处理</w:t>
                  </w:r>
                </w:p>
                <w:p w14:paraId="13A8FA2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效率%</w:t>
                  </w:r>
                </w:p>
              </w:tc>
              <w:tc>
                <w:tcPr>
                  <w:tcW w:w="815" w:type="dxa"/>
                  <w:tcBorders>
                    <w:tl2br w:val="nil"/>
                    <w:tr2bl w:val="nil"/>
                  </w:tcBorders>
                  <w:shd w:val="clear" w:color="auto" w:fill="auto"/>
                  <w:vAlign w:val="center"/>
                </w:tcPr>
                <w:p w14:paraId="413B6F5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处理量t/a</w:t>
                  </w:r>
                </w:p>
              </w:tc>
              <w:tc>
                <w:tcPr>
                  <w:tcW w:w="815" w:type="dxa"/>
                  <w:tcBorders>
                    <w:tl2br w:val="nil"/>
                    <w:tr2bl w:val="nil"/>
                  </w:tcBorders>
                  <w:shd w:val="clear" w:color="auto" w:fill="auto"/>
                  <w:vAlign w:val="center"/>
                </w:tcPr>
                <w:p w14:paraId="26463DE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排放量t/a</w:t>
                  </w:r>
                </w:p>
              </w:tc>
              <w:tc>
                <w:tcPr>
                  <w:tcW w:w="815" w:type="dxa"/>
                  <w:tcBorders>
                    <w:tl2br w:val="nil"/>
                    <w:tr2bl w:val="nil"/>
                  </w:tcBorders>
                  <w:shd w:val="clear" w:color="auto" w:fill="auto"/>
                  <w:vAlign w:val="center"/>
                </w:tcPr>
                <w:p w14:paraId="3EA4EB3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排放速率kg/h</w:t>
                  </w:r>
                </w:p>
              </w:tc>
              <w:tc>
                <w:tcPr>
                  <w:tcW w:w="815" w:type="dxa"/>
                  <w:tcBorders>
                    <w:tl2br w:val="nil"/>
                    <w:tr2bl w:val="nil"/>
                  </w:tcBorders>
                  <w:shd w:val="clear" w:color="auto" w:fill="auto"/>
                  <w:vAlign w:val="center"/>
                </w:tcPr>
                <w:p w14:paraId="7658935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排放量t/a</w:t>
                  </w:r>
                </w:p>
              </w:tc>
              <w:tc>
                <w:tcPr>
                  <w:tcW w:w="815" w:type="dxa"/>
                  <w:tcBorders>
                    <w:tl2br w:val="nil"/>
                    <w:tr2bl w:val="nil"/>
                  </w:tcBorders>
                  <w:shd w:val="clear" w:color="auto" w:fill="auto"/>
                  <w:vAlign w:val="center"/>
                </w:tcPr>
                <w:p w14:paraId="372C1BF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排放速率kg/h</w:t>
                  </w:r>
                </w:p>
              </w:tc>
              <w:tc>
                <w:tcPr>
                  <w:tcW w:w="1042" w:type="dxa"/>
                  <w:tcBorders>
                    <w:tl2br w:val="nil"/>
                    <w:tr2bl w:val="nil"/>
                  </w:tcBorders>
                  <w:shd w:val="clear" w:color="auto" w:fill="auto"/>
                  <w:vAlign w:val="center"/>
                </w:tcPr>
                <w:p w14:paraId="09C4108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排放浓度mg/m</w:t>
                  </w:r>
                  <w:r>
                    <w:rPr>
                      <w:rFonts w:hint="default" w:ascii="Times New Roman" w:hAnsi="Times New Roman" w:eastAsia="宋体" w:cs="Times New Roman"/>
                      <w:b/>
                      <w:bCs/>
                      <w:i w:val="0"/>
                      <w:iCs w:val="0"/>
                      <w:color w:val="000000"/>
                      <w:kern w:val="0"/>
                      <w:sz w:val="18"/>
                      <w:szCs w:val="18"/>
                      <w:u w:val="none"/>
                      <w:vertAlign w:val="superscript"/>
                      <w:lang w:val="en-US" w:eastAsia="zh-CN" w:bidi="ar"/>
                    </w:rPr>
                    <w:t>3</w:t>
                  </w:r>
                </w:p>
              </w:tc>
            </w:tr>
            <w:tr w14:paraId="6893D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1030" w:type="dxa"/>
                  <w:tcBorders>
                    <w:tl2br w:val="nil"/>
                    <w:tr2bl w:val="nil"/>
                  </w:tcBorders>
                  <w:shd w:val="clear" w:color="auto" w:fill="auto"/>
                  <w:noWrap/>
                  <w:vAlign w:val="center"/>
                </w:tcPr>
                <w:p w14:paraId="699DB79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木屑粉尘</w:t>
                  </w:r>
                </w:p>
              </w:tc>
              <w:tc>
                <w:tcPr>
                  <w:tcW w:w="943" w:type="dxa"/>
                  <w:tcBorders>
                    <w:tl2br w:val="nil"/>
                    <w:tr2bl w:val="nil"/>
                  </w:tcBorders>
                  <w:shd w:val="clear" w:color="auto" w:fill="auto"/>
                  <w:vAlign w:val="center"/>
                </w:tcPr>
                <w:p w14:paraId="0A3F92D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无组织</w:t>
                  </w:r>
                </w:p>
                <w:p w14:paraId="3E910EF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排放</w:t>
                  </w:r>
                </w:p>
              </w:tc>
              <w:tc>
                <w:tcPr>
                  <w:tcW w:w="1420" w:type="dxa"/>
                  <w:tcBorders>
                    <w:tl2br w:val="nil"/>
                    <w:tr2bl w:val="nil"/>
                  </w:tcBorders>
                  <w:shd w:val="clear" w:color="auto" w:fill="auto"/>
                  <w:noWrap/>
                  <w:vAlign w:val="center"/>
                </w:tcPr>
                <w:p w14:paraId="75C3980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颗粒物</w:t>
                  </w:r>
                </w:p>
              </w:tc>
              <w:tc>
                <w:tcPr>
                  <w:tcW w:w="939" w:type="dxa"/>
                  <w:tcBorders>
                    <w:tl2br w:val="nil"/>
                    <w:tr2bl w:val="nil"/>
                  </w:tcBorders>
                  <w:shd w:val="clear" w:color="auto" w:fill="auto"/>
                  <w:noWrap/>
                  <w:vAlign w:val="center"/>
                </w:tcPr>
                <w:p w14:paraId="7C38967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0.0810</w:t>
                  </w:r>
                </w:p>
              </w:tc>
              <w:tc>
                <w:tcPr>
                  <w:tcW w:w="1402" w:type="dxa"/>
                  <w:tcBorders>
                    <w:tl2br w:val="nil"/>
                    <w:tr2bl w:val="nil"/>
                  </w:tcBorders>
                  <w:shd w:val="clear" w:color="auto" w:fill="auto"/>
                  <w:vAlign w:val="center"/>
                </w:tcPr>
                <w:p w14:paraId="172D222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集气罩</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布袋除尘</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无组织排放</w:t>
                  </w:r>
                </w:p>
              </w:tc>
              <w:tc>
                <w:tcPr>
                  <w:tcW w:w="815" w:type="dxa"/>
                  <w:tcBorders>
                    <w:tl2br w:val="nil"/>
                    <w:tr2bl w:val="nil"/>
                  </w:tcBorders>
                  <w:shd w:val="clear" w:color="auto" w:fill="auto"/>
                  <w:noWrap/>
                  <w:vAlign w:val="center"/>
                </w:tcPr>
                <w:p w14:paraId="13D00E5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5" w:type="dxa"/>
                  <w:tcBorders>
                    <w:tl2br w:val="nil"/>
                    <w:tr2bl w:val="nil"/>
                  </w:tcBorders>
                  <w:shd w:val="clear" w:color="auto" w:fill="auto"/>
                  <w:noWrap/>
                  <w:vAlign w:val="center"/>
                </w:tcPr>
                <w:p w14:paraId="7A40AFD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815" w:type="dxa"/>
                  <w:tcBorders>
                    <w:tl2br w:val="nil"/>
                    <w:tr2bl w:val="nil"/>
                  </w:tcBorders>
                  <w:shd w:val="clear" w:color="auto" w:fill="auto"/>
                  <w:noWrap/>
                  <w:vAlign w:val="center"/>
                </w:tcPr>
                <w:p w14:paraId="5FAA3FB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815" w:type="dxa"/>
                  <w:tcBorders>
                    <w:tl2br w:val="nil"/>
                    <w:tr2bl w:val="nil"/>
                  </w:tcBorders>
                  <w:shd w:val="clear" w:color="auto" w:fill="auto"/>
                  <w:noWrap/>
                  <w:vAlign w:val="center"/>
                </w:tcPr>
                <w:p w14:paraId="06EBD65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0.0567</w:t>
                  </w:r>
                </w:p>
              </w:tc>
              <w:tc>
                <w:tcPr>
                  <w:tcW w:w="815" w:type="dxa"/>
                  <w:tcBorders>
                    <w:tl2br w:val="nil"/>
                    <w:tr2bl w:val="nil"/>
                  </w:tcBorders>
                  <w:shd w:val="clear" w:color="auto" w:fill="auto"/>
                  <w:noWrap/>
                  <w:vAlign w:val="center"/>
                </w:tcPr>
                <w:p w14:paraId="44F01DA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0.0300</w:t>
                  </w:r>
                </w:p>
              </w:tc>
              <w:tc>
                <w:tcPr>
                  <w:tcW w:w="815" w:type="dxa"/>
                  <w:tcBorders>
                    <w:tl2br w:val="nil"/>
                    <w:tr2bl w:val="nil"/>
                  </w:tcBorders>
                  <w:shd w:val="clear" w:color="auto" w:fill="auto"/>
                  <w:noWrap/>
                  <w:vAlign w:val="center"/>
                </w:tcPr>
                <w:p w14:paraId="271E45D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0.0125</w:t>
                  </w:r>
                </w:p>
              </w:tc>
              <w:tc>
                <w:tcPr>
                  <w:tcW w:w="815" w:type="dxa"/>
                  <w:tcBorders>
                    <w:tl2br w:val="nil"/>
                    <w:tr2bl w:val="nil"/>
                  </w:tcBorders>
                  <w:shd w:val="clear" w:color="auto" w:fill="auto"/>
                  <w:noWrap/>
                  <w:vAlign w:val="center"/>
                </w:tcPr>
                <w:p w14:paraId="02F04A8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5" w:type="dxa"/>
                  <w:tcBorders>
                    <w:tl2br w:val="nil"/>
                    <w:tr2bl w:val="nil"/>
                  </w:tcBorders>
                  <w:shd w:val="clear" w:color="auto" w:fill="auto"/>
                  <w:noWrap/>
                  <w:vAlign w:val="center"/>
                </w:tcPr>
                <w:p w14:paraId="13992D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2" w:type="dxa"/>
                  <w:tcBorders>
                    <w:tl2br w:val="nil"/>
                    <w:tr2bl w:val="nil"/>
                  </w:tcBorders>
                  <w:shd w:val="clear" w:color="auto" w:fill="auto"/>
                  <w:noWrap/>
                  <w:vAlign w:val="center"/>
                </w:tcPr>
                <w:p w14:paraId="427EFE2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r>
            <w:tr w14:paraId="5BDEB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030" w:type="dxa"/>
                  <w:tcBorders>
                    <w:tl2br w:val="nil"/>
                    <w:tr2bl w:val="nil"/>
                  </w:tcBorders>
                  <w:shd w:val="clear" w:color="auto" w:fill="auto"/>
                  <w:noWrap/>
                  <w:vAlign w:val="center"/>
                </w:tcPr>
                <w:p w14:paraId="183BE3E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底漆打磨</w:t>
                  </w:r>
                </w:p>
              </w:tc>
              <w:tc>
                <w:tcPr>
                  <w:tcW w:w="943" w:type="dxa"/>
                  <w:tcBorders>
                    <w:tl2br w:val="nil"/>
                    <w:tr2bl w:val="nil"/>
                  </w:tcBorders>
                  <w:shd w:val="clear" w:color="auto" w:fill="auto"/>
                  <w:vAlign w:val="center"/>
                </w:tcPr>
                <w:p w14:paraId="7EAA2A7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无组织</w:t>
                  </w:r>
                </w:p>
                <w:p w14:paraId="60BA2BC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排放</w:t>
                  </w:r>
                </w:p>
              </w:tc>
              <w:tc>
                <w:tcPr>
                  <w:tcW w:w="1420" w:type="dxa"/>
                  <w:tcBorders>
                    <w:tl2br w:val="nil"/>
                    <w:tr2bl w:val="nil"/>
                  </w:tcBorders>
                  <w:shd w:val="clear" w:color="auto" w:fill="auto"/>
                  <w:noWrap/>
                  <w:vAlign w:val="center"/>
                </w:tcPr>
                <w:p w14:paraId="32CC14E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颗粒物</w:t>
                  </w:r>
                </w:p>
              </w:tc>
              <w:tc>
                <w:tcPr>
                  <w:tcW w:w="939" w:type="dxa"/>
                  <w:tcBorders>
                    <w:tl2br w:val="nil"/>
                    <w:tr2bl w:val="nil"/>
                  </w:tcBorders>
                  <w:shd w:val="clear" w:color="auto" w:fill="auto"/>
                  <w:noWrap/>
                  <w:vAlign w:val="center"/>
                </w:tcPr>
                <w:p w14:paraId="086DE1C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0.1640</w:t>
                  </w:r>
                </w:p>
              </w:tc>
              <w:tc>
                <w:tcPr>
                  <w:tcW w:w="1402" w:type="dxa"/>
                  <w:tcBorders>
                    <w:tl2br w:val="nil"/>
                    <w:tr2bl w:val="nil"/>
                  </w:tcBorders>
                  <w:shd w:val="clear" w:color="auto" w:fill="auto"/>
                  <w:vAlign w:val="center"/>
                </w:tcPr>
                <w:p w14:paraId="3B59FC3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水帘柜</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无组织排放</w:t>
                  </w:r>
                </w:p>
              </w:tc>
              <w:tc>
                <w:tcPr>
                  <w:tcW w:w="815" w:type="dxa"/>
                  <w:tcBorders>
                    <w:tl2br w:val="nil"/>
                    <w:tr2bl w:val="nil"/>
                  </w:tcBorders>
                  <w:shd w:val="clear" w:color="auto" w:fill="auto"/>
                  <w:noWrap/>
                  <w:vAlign w:val="center"/>
                </w:tcPr>
                <w:p w14:paraId="733DD86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5" w:type="dxa"/>
                  <w:tcBorders>
                    <w:tl2br w:val="nil"/>
                    <w:tr2bl w:val="nil"/>
                  </w:tcBorders>
                  <w:shd w:val="clear" w:color="auto" w:fill="auto"/>
                  <w:noWrap/>
                  <w:vAlign w:val="center"/>
                </w:tcPr>
                <w:p w14:paraId="60BAD2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815" w:type="dxa"/>
                  <w:tcBorders>
                    <w:tl2br w:val="nil"/>
                    <w:tr2bl w:val="nil"/>
                  </w:tcBorders>
                  <w:shd w:val="clear" w:color="auto" w:fill="auto"/>
                  <w:noWrap/>
                  <w:vAlign w:val="center"/>
                </w:tcPr>
                <w:p w14:paraId="78CD277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5" w:type="dxa"/>
                  <w:tcBorders>
                    <w:tl2br w:val="nil"/>
                    <w:tr2bl w:val="nil"/>
                  </w:tcBorders>
                  <w:shd w:val="clear" w:color="auto" w:fill="auto"/>
                  <w:noWrap/>
                  <w:vAlign w:val="center"/>
                </w:tcPr>
                <w:p w14:paraId="5F1425D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0.1148</w:t>
                  </w:r>
                </w:p>
              </w:tc>
              <w:tc>
                <w:tcPr>
                  <w:tcW w:w="815" w:type="dxa"/>
                  <w:tcBorders>
                    <w:tl2br w:val="nil"/>
                    <w:tr2bl w:val="nil"/>
                  </w:tcBorders>
                  <w:shd w:val="clear" w:color="auto" w:fill="auto"/>
                  <w:noWrap/>
                  <w:vAlign w:val="center"/>
                </w:tcPr>
                <w:p w14:paraId="7D24A88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0.0722</w:t>
                  </w:r>
                </w:p>
              </w:tc>
              <w:tc>
                <w:tcPr>
                  <w:tcW w:w="815" w:type="dxa"/>
                  <w:tcBorders>
                    <w:tl2br w:val="nil"/>
                    <w:tr2bl w:val="nil"/>
                  </w:tcBorders>
                  <w:shd w:val="clear" w:color="auto" w:fill="auto"/>
                  <w:noWrap/>
                  <w:vAlign w:val="center"/>
                </w:tcPr>
                <w:p w14:paraId="34E7500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0.0301</w:t>
                  </w:r>
                </w:p>
              </w:tc>
              <w:tc>
                <w:tcPr>
                  <w:tcW w:w="815" w:type="dxa"/>
                  <w:tcBorders>
                    <w:tl2br w:val="nil"/>
                    <w:tr2bl w:val="nil"/>
                  </w:tcBorders>
                  <w:shd w:val="clear" w:color="auto" w:fill="auto"/>
                  <w:noWrap/>
                  <w:vAlign w:val="center"/>
                </w:tcPr>
                <w:p w14:paraId="337EC15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5" w:type="dxa"/>
                  <w:tcBorders>
                    <w:tl2br w:val="nil"/>
                    <w:tr2bl w:val="nil"/>
                  </w:tcBorders>
                  <w:shd w:val="clear" w:color="auto" w:fill="auto"/>
                  <w:noWrap/>
                  <w:vAlign w:val="center"/>
                </w:tcPr>
                <w:p w14:paraId="5C0A479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42" w:type="dxa"/>
                  <w:tcBorders>
                    <w:tl2br w:val="nil"/>
                    <w:tr2bl w:val="nil"/>
                  </w:tcBorders>
                  <w:shd w:val="clear" w:color="auto" w:fill="auto"/>
                  <w:noWrap/>
                  <w:vAlign w:val="center"/>
                </w:tcPr>
                <w:p w14:paraId="359E09E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r>
            <w:tr w14:paraId="453A0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1030" w:type="dxa"/>
                  <w:vMerge w:val="restart"/>
                  <w:tcBorders>
                    <w:tl2br w:val="nil"/>
                    <w:tr2bl w:val="nil"/>
                  </w:tcBorders>
                  <w:shd w:val="clear" w:color="auto" w:fill="auto"/>
                  <w:noWrap/>
                  <w:vAlign w:val="center"/>
                </w:tcPr>
                <w:p w14:paraId="595DE8B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上漆和晾干</w:t>
                  </w:r>
                </w:p>
              </w:tc>
              <w:tc>
                <w:tcPr>
                  <w:tcW w:w="943" w:type="dxa"/>
                  <w:vMerge w:val="restart"/>
                  <w:tcBorders>
                    <w:tl2br w:val="nil"/>
                    <w:tr2bl w:val="nil"/>
                  </w:tcBorders>
                  <w:shd w:val="clear" w:color="auto" w:fill="auto"/>
                  <w:noWrap/>
                  <w:vAlign w:val="center"/>
                </w:tcPr>
                <w:p w14:paraId="4C779F3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DA001</w:t>
                  </w:r>
                </w:p>
              </w:tc>
              <w:tc>
                <w:tcPr>
                  <w:tcW w:w="1420" w:type="dxa"/>
                  <w:tcBorders>
                    <w:tl2br w:val="nil"/>
                    <w:tr2bl w:val="nil"/>
                  </w:tcBorders>
                  <w:shd w:val="clear" w:color="auto" w:fill="auto"/>
                  <w:noWrap/>
                  <w:vAlign w:val="center"/>
                </w:tcPr>
                <w:p w14:paraId="796D05F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颗粒物</w:t>
                  </w:r>
                </w:p>
              </w:tc>
              <w:tc>
                <w:tcPr>
                  <w:tcW w:w="939" w:type="dxa"/>
                  <w:tcBorders>
                    <w:tl2br w:val="nil"/>
                    <w:tr2bl w:val="nil"/>
                  </w:tcBorders>
                  <w:shd w:val="clear" w:color="auto" w:fill="auto"/>
                  <w:noWrap/>
                  <w:vAlign w:val="center"/>
                </w:tcPr>
                <w:p w14:paraId="0A3535A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1.3406</w:t>
                  </w:r>
                </w:p>
              </w:tc>
              <w:tc>
                <w:tcPr>
                  <w:tcW w:w="1402" w:type="dxa"/>
                  <w:vMerge w:val="restart"/>
                  <w:tcBorders>
                    <w:tl2br w:val="nil"/>
                    <w:tr2bl w:val="nil"/>
                  </w:tcBorders>
                  <w:shd w:val="clear" w:color="auto" w:fill="auto"/>
                  <w:vAlign w:val="center"/>
                </w:tcPr>
                <w:p w14:paraId="58EE620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车间密闭</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水帘</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除尘柜</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喷淋塔</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cs="Times New Roman"/>
                      <w:i w:val="0"/>
                      <w:iCs w:val="0"/>
                      <w:color w:val="000000"/>
                      <w:kern w:val="0"/>
                      <w:sz w:val="18"/>
                      <w:szCs w:val="18"/>
                      <w:u w:val="none"/>
                      <w:lang w:val="en-US" w:eastAsia="zh-CN" w:bidi="ar"/>
                    </w:rPr>
                    <w:t>活性炭吸附</w:t>
                  </w:r>
                  <w:r>
                    <w:rPr>
                      <w:rFonts w:hint="default" w:ascii="Times New Roman" w:hAnsi="Times New Roman" w:eastAsia="宋体" w:cs="Times New Roman"/>
                      <w:i w:val="0"/>
                      <w:iCs w:val="0"/>
                      <w:color w:val="000000"/>
                      <w:kern w:val="0"/>
                      <w:sz w:val="18"/>
                      <w:szCs w:val="18"/>
                      <w:u w:val="none"/>
                      <w:lang w:val="en-US" w:eastAsia="zh-CN" w:bidi="ar"/>
                    </w:rPr>
                    <w:t>+15m</w:t>
                  </w:r>
                  <w:r>
                    <w:rPr>
                      <w:rFonts w:hint="eastAsia" w:ascii="宋体" w:hAnsi="宋体" w:eastAsia="宋体" w:cs="宋体"/>
                      <w:i w:val="0"/>
                      <w:iCs w:val="0"/>
                      <w:color w:val="000000"/>
                      <w:kern w:val="0"/>
                      <w:sz w:val="18"/>
                      <w:szCs w:val="18"/>
                      <w:u w:val="none"/>
                      <w:lang w:val="en-US" w:eastAsia="zh-CN" w:bidi="ar"/>
                    </w:rPr>
                    <w:t>高排气筒</w:t>
                  </w:r>
                </w:p>
              </w:tc>
              <w:tc>
                <w:tcPr>
                  <w:tcW w:w="815" w:type="dxa"/>
                  <w:vMerge w:val="restart"/>
                  <w:tcBorders>
                    <w:tl2br w:val="nil"/>
                    <w:tr2bl w:val="nil"/>
                  </w:tcBorders>
                  <w:shd w:val="clear" w:color="auto" w:fill="auto"/>
                  <w:noWrap/>
                  <w:vAlign w:val="center"/>
                </w:tcPr>
                <w:p w14:paraId="4A3BD2B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w:t>
                  </w:r>
                </w:p>
              </w:tc>
              <w:tc>
                <w:tcPr>
                  <w:tcW w:w="815" w:type="dxa"/>
                  <w:tcBorders>
                    <w:tl2br w:val="nil"/>
                    <w:tr2bl w:val="nil"/>
                  </w:tcBorders>
                  <w:shd w:val="clear" w:color="auto" w:fill="auto"/>
                  <w:noWrap/>
                  <w:vAlign w:val="center"/>
                </w:tcPr>
                <w:p w14:paraId="3D01F8F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815" w:type="dxa"/>
                  <w:tcBorders>
                    <w:tl2br w:val="nil"/>
                    <w:tr2bl w:val="nil"/>
                  </w:tcBorders>
                  <w:shd w:val="clear" w:color="auto" w:fill="auto"/>
                  <w:noWrap/>
                  <w:vAlign w:val="center"/>
                </w:tcPr>
                <w:p w14:paraId="4D71984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5" w:type="dxa"/>
                  <w:tcBorders>
                    <w:tl2br w:val="nil"/>
                    <w:tr2bl w:val="nil"/>
                  </w:tcBorders>
                  <w:shd w:val="clear" w:color="auto" w:fill="auto"/>
                  <w:noWrap/>
                  <w:vAlign w:val="center"/>
                </w:tcPr>
                <w:p w14:paraId="4C3C8FA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1.0617</w:t>
                  </w:r>
                </w:p>
              </w:tc>
              <w:tc>
                <w:tcPr>
                  <w:tcW w:w="815" w:type="dxa"/>
                  <w:tcBorders>
                    <w:tl2br w:val="nil"/>
                    <w:tr2bl w:val="nil"/>
                  </w:tcBorders>
                  <w:shd w:val="clear" w:color="auto" w:fill="auto"/>
                  <w:noWrap/>
                  <w:vAlign w:val="center"/>
                </w:tcPr>
                <w:p w14:paraId="0887309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0.0134</w:t>
                  </w:r>
                </w:p>
              </w:tc>
              <w:tc>
                <w:tcPr>
                  <w:tcW w:w="815" w:type="dxa"/>
                  <w:tcBorders>
                    <w:tl2br w:val="nil"/>
                    <w:tr2bl w:val="nil"/>
                  </w:tcBorders>
                  <w:shd w:val="clear" w:color="auto" w:fill="auto"/>
                  <w:noWrap/>
                  <w:vAlign w:val="center"/>
                </w:tcPr>
                <w:p w14:paraId="0EC5485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0.0056</w:t>
                  </w:r>
                </w:p>
              </w:tc>
              <w:tc>
                <w:tcPr>
                  <w:tcW w:w="815" w:type="dxa"/>
                  <w:tcBorders>
                    <w:tl2br w:val="nil"/>
                    <w:tr2bl w:val="nil"/>
                  </w:tcBorders>
                  <w:shd w:val="clear" w:color="auto" w:fill="auto"/>
                  <w:noWrap/>
                  <w:vAlign w:val="center"/>
                </w:tcPr>
                <w:p w14:paraId="1A13926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0.2654</w:t>
                  </w:r>
                </w:p>
              </w:tc>
              <w:tc>
                <w:tcPr>
                  <w:tcW w:w="815" w:type="dxa"/>
                  <w:tcBorders>
                    <w:tl2br w:val="nil"/>
                    <w:tr2bl w:val="nil"/>
                  </w:tcBorders>
                  <w:shd w:val="clear" w:color="auto" w:fill="auto"/>
                  <w:noWrap/>
                  <w:vAlign w:val="center"/>
                </w:tcPr>
                <w:p w14:paraId="20292F0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0.1106</w:t>
                  </w:r>
                </w:p>
              </w:tc>
              <w:tc>
                <w:tcPr>
                  <w:tcW w:w="1042" w:type="dxa"/>
                  <w:tcBorders>
                    <w:tl2br w:val="nil"/>
                    <w:tr2bl w:val="nil"/>
                  </w:tcBorders>
                  <w:shd w:val="clear" w:color="auto" w:fill="auto"/>
                  <w:noWrap/>
                  <w:vAlign w:val="center"/>
                </w:tcPr>
                <w:p w14:paraId="653645B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7.37</w:t>
                  </w:r>
                </w:p>
              </w:tc>
            </w:tr>
            <w:tr w14:paraId="1EC8A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1030" w:type="dxa"/>
                  <w:vMerge w:val="continue"/>
                  <w:tcBorders>
                    <w:tl2br w:val="nil"/>
                    <w:tr2bl w:val="nil"/>
                  </w:tcBorders>
                  <w:shd w:val="clear" w:color="auto" w:fill="auto"/>
                  <w:noWrap/>
                  <w:vAlign w:val="center"/>
                </w:tcPr>
                <w:p w14:paraId="168357C7">
                  <w:pPr>
                    <w:jc w:val="center"/>
                    <w:rPr>
                      <w:rFonts w:hint="default" w:ascii="Times New Roman" w:hAnsi="Times New Roman" w:eastAsia="宋体" w:cs="Times New Roman"/>
                      <w:i w:val="0"/>
                      <w:iCs w:val="0"/>
                      <w:color w:val="000000"/>
                      <w:sz w:val="18"/>
                      <w:szCs w:val="18"/>
                      <w:u w:val="none"/>
                    </w:rPr>
                  </w:pPr>
                </w:p>
              </w:tc>
              <w:tc>
                <w:tcPr>
                  <w:tcW w:w="943" w:type="dxa"/>
                  <w:vMerge w:val="continue"/>
                  <w:tcBorders>
                    <w:tl2br w:val="nil"/>
                    <w:tr2bl w:val="nil"/>
                  </w:tcBorders>
                  <w:shd w:val="clear" w:color="auto" w:fill="auto"/>
                  <w:noWrap/>
                  <w:vAlign w:val="center"/>
                </w:tcPr>
                <w:p w14:paraId="4550855A">
                  <w:pPr>
                    <w:jc w:val="center"/>
                    <w:rPr>
                      <w:rFonts w:hint="default" w:ascii="Times New Roman" w:hAnsi="Times New Roman" w:eastAsia="宋体" w:cs="Times New Roman"/>
                      <w:i w:val="0"/>
                      <w:iCs w:val="0"/>
                      <w:color w:val="000000"/>
                      <w:sz w:val="18"/>
                      <w:szCs w:val="18"/>
                      <w:u w:val="none"/>
                    </w:rPr>
                  </w:pPr>
                </w:p>
              </w:tc>
              <w:tc>
                <w:tcPr>
                  <w:tcW w:w="1420" w:type="dxa"/>
                  <w:tcBorders>
                    <w:tl2br w:val="nil"/>
                    <w:tr2bl w:val="nil"/>
                  </w:tcBorders>
                  <w:shd w:val="clear" w:color="auto" w:fill="auto"/>
                  <w:noWrap/>
                  <w:vAlign w:val="center"/>
                </w:tcPr>
                <w:p w14:paraId="18F0D40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非甲烷总烃</w:t>
                  </w:r>
                </w:p>
              </w:tc>
              <w:tc>
                <w:tcPr>
                  <w:tcW w:w="939" w:type="dxa"/>
                  <w:tcBorders>
                    <w:tl2br w:val="nil"/>
                    <w:tr2bl w:val="nil"/>
                  </w:tcBorders>
                  <w:shd w:val="clear" w:color="auto" w:fill="auto"/>
                  <w:noWrap/>
                  <w:vAlign w:val="center"/>
                </w:tcPr>
                <w:p w14:paraId="48098CE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1402" w:type="dxa"/>
                  <w:vMerge w:val="continue"/>
                  <w:tcBorders>
                    <w:tl2br w:val="nil"/>
                    <w:tr2bl w:val="nil"/>
                  </w:tcBorders>
                  <w:shd w:val="clear" w:color="auto" w:fill="auto"/>
                  <w:vAlign w:val="center"/>
                </w:tcPr>
                <w:p w14:paraId="312C6ED0">
                  <w:pPr>
                    <w:jc w:val="center"/>
                    <w:rPr>
                      <w:rFonts w:hint="default" w:ascii="Times New Roman" w:hAnsi="Times New Roman" w:eastAsia="宋体" w:cs="Times New Roman"/>
                      <w:i w:val="0"/>
                      <w:iCs w:val="0"/>
                      <w:color w:val="000000"/>
                      <w:sz w:val="18"/>
                      <w:szCs w:val="18"/>
                      <w:u w:val="none"/>
                    </w:rPr>
                  </w:pPr>
                </w:p>
              </w:tc>
              <w:tc>
                <w:tcPr>
                  <w:tcW w:w="815" w:type="dxa"/>
                  <w:vMerge w:val="continue"/>
                  <w:tcBorders>
                    <w:tl2br w:val="nil"/>
                    <w:tr2bl w:val="nil"/>
                  </w:tcBorders>
                  <w:shd w:val="clear" w:color="auto" w:fill="auto"/>
                  <w:noWrap/>
                  <w:vAlign w:val="center"/>
                </w:tcPr>
                <w:p w14:paraId="12C5E33F">
                  <w:pPr>
                    <w:jc w:val="center"/>
                    <w:rPr>
                      <w:rFonts w:hint="default" w:ascii="Times New Roman" w:hAnsi="Times New Roman" w:eastAsia="宋体" w:cs="Times New Roman"/>
                      <w:i w:val="0"/>
                      <w:iCs w:val="0"/>
                      <w:color w:val="000000"/>
                      <w:sz w:val="18"/>
                      <w:szCs w:val="18"/>
                      <w:u w:val="none"/>
                    </w:rPr>
                  </w:pPr>
                </w:p>
              </w:tc>
              <w:tc>
                <w:tcPr>
                  <w:tcW w:w="815" w:type="dxa"/>
                  <w:tcBorders>
                    <w:tl2br w:val="nil"/>
                    <w:tr2bl w:val="nil"/>
                  </w:tcBorders>
                  <w:shd w:val="clear" w:color="auto" w:fill="auto"/>
                  <w:noWrap/>
                  <w:vAlign w:val="center"/>
                </w:tcPr>
                <w:p w14:paraId="360EDD1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15" w:type="dxa"/>
                  <w:tcBorders>
                    <w:tl2br w:val="nil"/>
                    <w:tr2bl w:val="nil"/>
                  </w:tcBorders>
                  <w:shd w:val="clear" w:color="auto" w:fill="auto"/>
                  <w:noWrap/>
                  <w:vAlign w:val="center"/>
                </w:tcPr>
                <w:p w14:paraId="097139E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5" w:type="dxa"/>
                  <w:tcBorders>
                    <w:tl2br w:val="nil"/>
                    <w:tr2bl w:val="nil"/>
                  </w:tcBorders>
                  <w:shd w:val="clear" w:color="auto" w:fill="auto"/>
                  <w:noWrap/>
                  <w:vAlign w:val="center"/>
                </w:tcPr>
                <w:p w14:paraId="6BCC31F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3.9786</w:t>
                  </w:r>
                </w:p>
              </w:tc>
              <w:tc>
                <w:tcPr>
                  <w:tcW w:w="815" w:type="dxa"/>
                  <w:tcBorders>
                    <w:tl2br w:val="nil"/>
                    <w:tr2bl w:val="nil"/>
                  </w:tcBorders>
                  <w:shd w:val="clear" w:color="auto" w:fill="auto"/>
                  <w:noWrap/>
                  <w:vAlign w:val="center"/>
                </w:tcPr>
                <w:p w14:paraId="41CA7B1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0.2618</w:t>
                  </w:r>
                </w:p>
              </w:tc>
              <w:tc>
                <w:tcPr>
                  <w:tcW w:w="815" w:type="dxa"/>
                  <w:tcBorders>
                    <w:tl2br w:val="nil"/>
                    <w:tr2bl w:val="nil"/>
                  </w:tcBorders>
                  <w:shd w:val="clear" w:color="auto" w:fill="auto"/>
                  <w:noWrap/>
                  <w:vAlign w:val="center"/>
                </w:tcPr>
                <w:p w14:paraId="412AF2A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0.1091</w:t>
                  </w:r>
                </w:p>
              </w:tc>
              <w:tc>
                <w:tcPr>
                  <w:tcW w:w="815" w:type="dxa"/>
                  <w:tcBorders>
                    <w:tl2br w:val="nil"/>
                    <w:tr2bl w:val="nil"/>
                  </w:tcBorders>
                  <w:shd w:val="clear" w:color="auto" w:fill="auto"/>
                  <w:noWrap/>
                  <w:vAlign w:val="center"/>
                </w:tcPr>
                <w:p w14:paraId="44E0A94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0.9947</w:t>
                  </w:r>
                </w:p>
              </w:tc>
              <w:tc>
                <w:tcPr>
                  <w:tcW w:w="815" w:type="dxa"/>
                  <w:tcBorders>
                    <w:tl2br w:val="nil"/>
                    <w:tr2bl w:val="nil"/>
                  </w:tcBorders>
                  <w:shd w:val="clear" w:color="auto" w:fill="auto"/>
                  <w:noWrap/>
                  <w:vAlign w:val="center"/>
                </w:tcPr>
                <w:p w14:paraId="5F5A4D1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0.4144</w:t>
                  </w:r>
                </w:p>
              </w:tc>
              <w:tc>
                <w:tcPr>
                  <w:tcW w:w="1042" w:type="dxa"/>
                  <w:tcBorders>
                    <w:tl2br w:val="nil"/>
                    <w:tr2bl w:val="nil"/>
                  </w:tcBorders>
                  <w:shd w:val="clear" w:color="auto" w:fill="auto"/>
                  <w:noWrap/>
                  <w:vAlign w:val="center"/>
                </w:tcPr>
                <w:p w14:paraId="2F5617B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27.63</w:t>
                  </w:r>
                </w:p>
              </w:tc>
            </w:tr>
            <w:tr w14:paraId="3763F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1030" w:type="dxa"/>
                  <w:vMerge w:val="continue"/>
                  <w:tcBorders>
                    <w:tl2br w:val="nil"/>
                    <w:tr2bl w:val="nil"/>
                  </w:tcBorders>
                  <w:shd w:val="clear" w:color="auto" w:fill="auto"/>
                  <w:noWrap/>
                  <w:vAlign w:val="center"/>
                </w:tcPr>
                <w:p w14:paraId="0A575E04">
                  <w:pPr>
                    <w:jc w:val="center"/>
                    <w:rPr>
                      <w:rFonts w:hint="default" w:ascii="Times New Roman" w:hAnsi="Times New Roman" w:eastAsia="宋体" w:cs="Times New Roman"/>
                      <w:i w:val="0"/>
                      <w:iCs w:val="0"/>
                      <w:color w:val="000000"/>
                      <w:sz w:val="18"/>
                      <w:szCs w:val="18"/>
                      <w:u w:val="none"/>
                    </w:rPr>
                  </w:pPr>
                </w:p>
              </w:tc>
              <w:tc>
                <w:tcPr>
                  <w:tcW w:w="943" w:type="dxa"/>
                  <w:vMerge w:val="continue"/>
                  <w:tcBorders>
                    <w:tl2br w:val="nil"/>
                    <w:tr2bl w:val="nil"/>
                  </w:tcBorders>
                  <w:shd w:val="clear" w:color="auto" w:fill="auto"/>
                  <w:noWrap/>
                  <w:vAlign w:val="center"/>
                </w:tcPr>
                <w:p w14:paraId="2887D244">
                  <w:pPr>
                    <w:jc w:val="center"/>
                    <w:rPr>
                      <w:rFonts w:hint="default" w:ascii="Times New Roman" w:hAnsi="Times New Roman" w:eastAsia="宋体" w:cs="Times New Roman"/>
                      <w:i w:val="0"/>
                      <w:iCs w:val="0"/>
                      <w:color w:val="000000"/>
                      <w:sz w:val="18"/>
                      <w:szCs w:val="18"/>
                      <w:u w:val="none"/>
                    </w:rPr>
                  </w:pPr>
                </w:p>
              </w:tc>
              <w:tc>
                <w:tcPr>
                  <w:tcW w:w="1420" w:type="dxa"/>
                  <w:tcBorders>
                    <w:tl2br w:val="nil"/>
                    <w:tr2bl w:val="nil"/>
                  </w:tcBorders>
                  <w:shd w:val="clear" w:color="auto" w:fill="auto"/>
                  <w:noWrap/>
                  <w:vAlign w:val="center"/>
                </w:tcPr>
                <w:p w14:paraId="29B82EF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Style w:val="54"/>
                      <w:rFonts w:hint="default" w:ascii="Times New Roman" w:hAnsi="Times New Roman" w:cs="Times New Roman"/>
                      <w:sz w:val="18"/>
                      <w:szCs w:val="18"/>
                      <w:lang w:val="en-US" w:eastAsia="zh-CN" w:bidi="ar"/>
                    </w:rPr>
                    <w:t>甲苯</w:t>
                  </w:r>
                </w:p>
              </w:tc>
              <w:tc>
                <w:tcPr>
                  <w:tcW w:w="939" w:type="dxa"/>
                  <w:tcBorders>
                    <w:tl2br w:val="nil"/>
                    <w:tr2bl w:val="nil"/>
                  </w:tcBorders>
                  <w:shd w:val="clear" w:color="auto" w:fill="auto"/>
                  <w:noWrap/>
                  <w:vAlign w:val="center"/>
                </w:tcPr>
                <w:p w14:paraId="745307D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1402" w:type="dxa"/>
                  <w:vMerge w:val="continue"/>
                  <w:tcBorders>
                    <w:tl2br w:val="nil"/>
                    <w:tr2bl w:val="nil"/>
                  </w:tcBorders>
                  <w:shd w:val="clear" w:color="auto" w:fill="auto"/>
                  <w:vAlign w:val="center"/>
                </w:tcPr>
                <w:p w14:paraId="1C1F4AEC">
                  <w:pPr>
                    <w:jc w:val="center"/>
                    <w:rPr>
                      <w:rFonts w:hint="default" w:ascii="Times New Roman" w:hAnsi="Times New Roman" w:eastAsia="宋体" w:cs="Times New Roman"/>
                      <w:i w:val="0"/>
                      <w:iCs w:val="0"/>
                      <w:color w:val="000000"/>
                      <w:sz w:val="18"/>
                      <w:szCs w:val="18"/>
                      <w:u w:val="none"/>
                    </w:rPr>
                  </w:pPr>
                </w:p>
              </w:tc>
              <w:tc>
                <w:tcPr>
                  <w:tcW w:w="815" w:type="dxa"/>
                  <w:vMerge w:val="continue"/>
                  <w:tcBorders>
                    <w:tl2br w:val="nil"/>
                    <w:tr2bl w:val="nil"/>
                  </w:tcBorders>
                  <w:shd w:val="clear" w:color="auto" w:fill="auto"/>
                  <w:noWrap/>
                  <w:vAlign w:val="center"/>
                </w:tcPr>
                <w:p w14:paraId="5589BCB0">
                  <w:pPr>
                    <w:jc w:val="center"/>
                    <w:rPr>
                      <w:rFonts w:hint="default" w:ascii="Times New Roman" w:hAnsi="Times New Roman" w:eastAsia="宋体" w:cs="Times New Roman"/>
                      <w:i w:val="0"/>
                      <w:iCs w:val="0"/>
                      <w:color w:val="000000"/>
                      <w:sz w:val="18"/>
                      <w:szCs w:val="18"/>
                      <w:u w:val="none"/>
                    </w:rPr>
                  </w:pPr>
                </w:p>
              </w:tc>
              <w:tc>
                <w:tcPr>
                  <w:tcW w:w="815" w:type="dxa"/>
                  <w:tcBorders>
                    <w:tl2br w:val="nil"/>
                    <w:tr2bl w:val="nil"/>
                  </w:tcBorders>
                  <w:shd w:val="clear" w:color="auto" w:fill="auto"/>
                  <w:noWrap/>
                  <w:vAlign w:val="center"/>
                </w:tcPr>
                <w:p w14:paraId="61FB625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15" w:type="dxa"/>
                  <w:tcBorders>
                    <w:tl2br w:val="nil"/>
                    <w:tr2bl w:val="nil"/>
                  </w:tcBorders>
                  <w:shd w:val="clear" w:color="auto" w:fill="auto"/>
                  <w:noWrap/>
                  <w:vAlign w:val="center"/>
                </w:tcPr>
                <w:p w14:paraId="5C042DC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5" w:type="dxa"/>
                  <w:tcBorders>
                    <w:tl2br w:val="nil"/>
                    <w:tr2bl w:val="nil"/>
                  </w:tcBorders>
                  <w:shd w:val="clear" w:color="auto" w:fill="auto"/>
                  <w:noWrap/>
                  <w:vAlign w:val="center"/>
                </w:tcPr>
                <w:p w14:paraId="7F48B66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0.3268</w:t>
                  </w:r>
                </w:p>
              </w:tc>
              <w:tc>
                <w:tcPr>
                  <w:tcW w:w="815" w:type="dxa"/>
                  <w:tcBorders>
                    <w:tl2br w:val="nil"/>
                    <w:tr2bl w:val="nil"/>
                  </w:tcBorders>
                  <w:shd w:val="clear" w:color="auto" w:fill="auto"/>
                  <w:noWrap/>
                  <w:vAlign w:val="center"/>
                </w:tcPr>
                <w:p w14:paraId="62DF423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0.0215</w:t>
                  </w:r>
                </w:p>
              </w:tc>
              <w:tc>
                <w:tcPr>
                  <w:tcW w:w="815" w:type="dxa"/>
                  <w:tcBorders>
                    <w:tl2br w:val="nil"/>
                    <w:tr2bl w:val="nil"/>
                  </w:tcBorders>
                  <w:shd w:val="clear" w:color="auto" w:fill="auto"/>
                  <w:noWrap/>
                  <w:vAlign w:val="center"/>
                </w:tcPr>
                <w:p w14:paraId="6D839B4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0.0090</w:t>
                  </w:r>
                </w:p>
              </w:tc>
              <w:tc>
                <w:tcPr>
                  <w:tcW w:w="815" w:type="dxa"/>
                  <w:tcBorders>
                    <w:tl2br w:val="nil"/>
                    <w:tr2bl w:val="nil"/>
                  </w:tcBorders>
                  <w:shd w:val="clear" w:color="auto" w:fill="auto"/>
                  <w:noWrap/>
                  <w:vAlign w:val="center"/>
                </w:tcPr>
                <w:p w14:paraId="5DDB88C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0.0817</w:t>
                  </w:r>
                </w:p>
              </w:tc>
              <w:tc>
                <w:tcPr>
                  <w:tcW w:w="815" w:type="dxa"/>
                  <w:tcBorders>
                    <w:tl2br w:val="nil"/>
                    <w:tr2bl w:val="nil"/>
                  </w:tcBorders>
                  <w:shd w:val="clear" w:color="auto" w:fill="auto"/>
                  <w:noWrap/>
                  <w:vAlign w:val="center"/>
                </w:tcPr>
                <w:p w14:paraId="3FFFE65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0.0340</w:t>
                  </w:r>
                </w:p>
              </w:tc>
              <w:tc>
                <w:tcPr>
                  <w:tcW w:w="1042" w:type="dxa"/>
                  <w:tcBorders>
                    <w:tl2br w:val="nil"/>
                    <w:tr2bl w:val="nil"/>
                  </w:tcBorders>
                  <w:shd w:val="clear" w:color="auto" w:fill="auto"/>
                  <w:noWrap/>
                  <w:vAlign w:val="center"/>
                </w:tcPr>
                <w:p w14:paraId="23641CE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r>
            <w:tr w14:paraId="3AC7E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1030" w:type="dxa"/>
                  <w:vMerge w:val="continue"/>
                  <w:tcBorders>
                    <w:tl2br w:val="nil"/>
                    <w:tr2bl w:val="nil"/>
                  </w:tcBorders>
                  <w:shd w:val="clear" w:color="auto" w:fill="auto"/>
                  <w:noWrap/>
                  <w:vAlign w:val="center"/>
                </w:tcPr>
                <w:p w14:paraId="48A1CC6D">
                  <w:pPr>
                    <w:jc w:val="center"/>
                    <w:rPr>
                      <w:rFonts w:hint="default" w:ascii="Times New Roman" w:hAnsi="Times New Roman" w:eastAsia="宋体" w:cs="Times New Roman"/>
                      <w:i w:val="0"/>
                      <w:iCs w:val="0"/>
                      <w:color w:val="000000"/>
                      <w:sz w:val="18"/>
                      <w:szCs w:val="18"/>
                      <w:u w:val="none"/>
                    </w:rPr>
                  </w:pPr>
                </w:p>
              </w:tc>
              <w:tc>
                <w:tcPr>
                  <w:tcW w:w="943" w:type="dxa"/>
                  <w:vMerge w:val="continue"/>
                  <w:tcBorders>
                    <w:tl2br w:val="nil"/>
                    <w:tr2bl w:val="nil"/>
                  </w:tcBorders>
                  <w:shd w:val="clear" w:color="auto" w:fill="auto"/>
                  <w:noWrap/>
                  <w:vAlign w:val="center"/>
                </w:tcPr>
                <w:p w14:paraId="14E22455">
                  <w:pPr>
                    <w:jc w:val="center"/>
                    <w:rPr>
                      <w:rFonts w:hint="default" w:ascii="Times New Roman" w:hAnsi="Times New Roman" w:eastAsia="宋体" w:cs="Times New Roman"/>
                      <w:i w:val="0"/>
                      <w:iCs w:val="0"/>
                      <w:color w:val="000000"/>
                      <w:sz w:val="18"/>
                      <w:szCs w:val="18"/>
                      <w:u w:val="none"/>
                    </w:rPr>
                  </w:pPr>
                </w:p>
              </w:tc>
              <w:tc>
                <w:tcPr>
                  <w:tcW w:w="1420" w:type="dxa"/>
                  <w:tcBorders>
                    <w:tl2br w:val="nil"/>
                    <w:tr2bl w:val="nil"/>
                  </w:tcBorders>
                  <w:shd w:val="clear" w:color="auto" w:fill="auto"/>
                  <w:noWrap/>
                  <w:vAlign w:val="center"/>
                </w:tcPr>
                <w:p w14:paraId="372950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二甲苯</w:t>
                  </w:r>
                </w:p>
              </w:tc>
              <w:tc>
                <w:tcPr>
                  <w:tcW w:w="939" w:type="dxa"/>
                  <w:tcBorders>
                    <w:tl2br w:val="nil"/>
                    <w:tr2bl w:val="nil"/>
                  </w:tcBorders>
                  <w:shd w:val="clear" w:color="auto" w:fill="auto"/>
                  <w:noWrap/>
                  <w:vAlign w:val="center"/>
                </w:tcPr>
                <w:p w14:paraId="340924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1402" w:type="dxa"/>
                  <w:vMerge w:val="continue"/>
                  <w:tcBorders>
                    <w:tl2br w:val="nil"/>
                    <w:tr2bl w:val="nil"/>
                  </w:tcBorders>
                  <w:shd w:val="clear" w:color="auto" w:fill="auto"/>
                  <w:vAlign w:val="center"/>
                </w:tcPr>
                <w:p w14:paraId="07B53F96">
                  <w:pPr>
                    <w:jc w:val="center"/>
                    <w:rPr>
                      <w:rFonts w:hint="default" w:ascii="Times New Roman" w:hAnsi="Times New Roman" w:eastAsia="宋体" w:cs="Times New Roman"/>
                      <w:i w:val="0"/>
                      <w:iCs w:val="0"/>
                      <w:color w:val="000000"/>
                      <w:sz w:val="18"/>
                      <w:szCs w:val="18"/>
                      <w:u w:val="none"/>
                    </w:rPr>
                  </w:pPr>
                </w:p>
              </w:tc>
              <w:tc>
                <w:tcPr>
                  <w:tcW w:w="815" w:type="dxa"/>
                  <w:vMerge w:val="continue"/>
                  <w:tcBorders>
                    <w:tl2br w:val="nil"/>
                    <w:tr2bl w:val="nil"/>
                  </w:tcBorders>
                  <w:shd w:val="clear" w:color="auto" w:fill="auto"/>
                  <w:noWrap/>
                  <w:vAlign w:val="center"/>
                </w:tcPr>
                <w:p w14:paraId="52533DF6">
                  <w:pPr>
                    <w:jc w:val="center"/>
                    <w:rPr>
                      <w:rFonts w:hint="default" w:ascii="Times New Roman" w:hAnsi="Times New Roman" w:eastAsia="宋体" w:cs="Times New Roman"/>
                      <w:i w:val="0"/>
                      <w:iCs w:val="0"/>
                      <w:color w:val="000000"/>
                      <w:sz w:val="18"/>
                      <w:szCs w:val="18"/>
                      <w:u w:val="none"/>
                    </w:rPr>
                  </w:pPr>
                </w:p>
              </w:tc>
              <w:tc>
                <w:tcPr>
                  <w:tcW w:w="815" w:type="dxa"/>
                  <w:tcBorders>
                    <w:tl2br w:val="nil"/>
                    <w:tr2bl w:val="nil"/>
                  </w:tcBorders>
                  <w:shd w:val="clear" w:color="auto" w:fill="auto"/>
                  <w:noWrap/>
                  <w:vAlign w:val="center"/>
                </w:tcPr>
                <w:p w14:paraId="2E0C8DB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15" w:type="dxa"/>
                  <w:tcBorders>
                    <w:tl2br w:val="nil"/>
                    <w:tr2bl w:val="nil"/>
                  </w:tcBorders>
                  <w:shd w:val="clear" w:color="auto" w:fill="auto"/>
                  <w:noWrap/>
                  <w:vAlign w:val="center"/>
                </w:tcPr>
                <w:p w14:paraId="0A96DD5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5" w:type="dxa"/>
                  <w:tcBorders>
                    <w:tl2br w:val="nil"/>
                    <w:tr2bl w:val="nil"/>
                  </w:tcBorders>
                  <w:shd w:val="clear" w:color="auto" w:fill="auto"/>
                  <w:noWrap/>
                  <w:vAlign w:val="center"/>
                </w:tcPr>
                <w:p w14:paraId="320465F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0.3268</w:t>
                  </w:r>
                </w:p>
              </w:tc>
              <w:tc>
                <w:tcPr>
                  <w:tcW w:w="815" w:type="dxa"/>
                  <w:tcBorders>
                    <w:tl2br w:val="nil"/>
                    <w:tr2bl w:val="nil"/>
                  </w:tcBorders>
                  <w:shd w:val="clear" w:color="auto" w:fill="auto"/>
                  <w:noWrap/>
                  <w:vAlign w:val="center"/>
                </w:tcPr>
                <w:p w14:paraId="32258BA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0.0215</w:t>
                  </w:r>
                </w:p>
              </w:tc>
              <w:tc>
                <w:tcPr>
                  <w:tcW w:w="815" w:type="dxa"/>
                  <w:tcBorders>
                    <w:tl2br w:val="nil"/>
                    <w:tr2bl w:val="nil"/>
                  </w:tcBorders>
                  <w:shd w:val="clear" w:color="auto" w:fill="auto"/>
                  <w:noWrap/>
                  <w:vAlign w:val="center"/>
                </w:tcPr>
                <w:p w14:paraId="3D7BB9D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0.0090</w:t>
                  </w:r>
                </w:p>
              </w:tc>
              <w:tc>
                <w:tcPr>
                  <w:tcW w:w="815" w:type="dxa"/>
                  <w:tcBorders>
                    <w:tl2br w:val="nil"/>
                    <w:tr2bl w:val="nil"/>
                  </w:tcBorders>
                  <w:shd w:val="clear" w:color="auto" w:fill="auto"/>
                  <w:noWrap/>
                  <w:vAlign w:val="center"/>
                </w:tcPr>
                <w:p w14:paraId="7E3D78F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0.0817</w:t>
                  </w:r>
                </w:p>
              </w:tc>
              <w:tc>
                <w:tcPr>
                  <w:tcW w:w="815" w:type="dxa"/>
                  <w:tcBorders>
                    <w:tl2br w:val="nil"/>
                    <w:tr2bl w:val="nil"/>
                  </w:tcBorders>
                  <w:shd w:val="clear" w:color="auto" w:fill="auto"/>
                  <w:noWrap/>
                  <w:vAlign w:val="center"/>
                </w:tcPr>
                <w:p w14:paraId="2C1089A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0.0340</w:t>
                  </w:r>
                </w:p>
              </w:tc>
              <w:tc>
                <w:tcPr>
                  <w:tcW w:w="1042" w:type="dxa"/>
                  <w:tcBorders>
                    <w:tl2br w:val="nil"/>
                    <w:tr2bl w:val="nil"/>
                  </w:tcBorders>
                  <w:shd w:val="clear" w:color="auto" w:fill="auto"/>
                  <w:noWrap/>
                  <w:vAlign w:val="center"/>
                </w:tcPr>
                <w:p w14:paraId="03DED40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2.27</w:t>
                  </w:r>
                </w:p>
              </w:tc>
            </w:tr>
            <w:tr w14:paraId="10C40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trPr>
              <w:tc>
                <w:tcPr>
                  <w:tcW w:w="1030" w:type="dxa"/>
                  <w:vMerge w:val="continue"/>
                  <w:tcBorders>
                    <w:tl2br w:val="nil"/>
                    <w:tr2bl w:val="nil"/>
                  </w:tcBorders>
                  <w:shd w:val="clear" w:color="auto" w:fill="auto"/>
                  <w:noWrap/>
                  <w:vAlign w:val="center"/>
                </w:tcPr>
                <w:p w14:paraId="2CBC6C34">
                  <w:pPr>
                    <w:jc w:val="center"/>
                    <w:rPr>
                      <w:rFonts w:hint="default" w:ascii="Times New Roman" w:hAnsi="Times New Roman" w:eastAsia="宋体" w:cs="Times New Roman"/>
                      <w:i w:val="0"/>
                      <w:iCs w:val="0"/>
                      <w:color w:val="000000"/>
                      <w:sz w:val="18"/>
                      <w:szCs w:val="18"/>
                      <w:u w:val="none"/>
                    </w:rPr>
                  </w:pPr>
                </w:p>
              </w:tc>
              <w:tc>
                <w:tcPr>
                  <w:tcW w:w="943" w:type="dxa"/>
                  <w:vMerge w:val="continue"/>
                  <w:tcBorders>
                    <w:tl2br w:val="nil"/>
                    <w:tr2bl w:val="nil"/>
                  </w:tcBorders>
                  <w:shd w:val="clear" w:color="auto" w:fill="auto"/>
                  <w:noWrap/>
                  <w:vAlign w:val="center"/>
                </w:tcPr>
                <w:p w14:paraId="7F107537">
                  <w:pPr>
                    <w:jc w:val="center"/>
                    <w:rPr>
                      <w:rFonts w:hint="default" w:ascii="Times New Roman" w:hAnsi="Times New Roman" w:eastAsia="宋体" w:cs="Times New Roman"/>
                      <w:i w:val="0"/>
                      <w:iCs w:val="0"/>
                      <w:color w:val="000000"/>
                      <w:sz w:val="18"/>
                      <w:szCs w:val="18"/>
                      <w:u w:val="none"/>
                    </w:rPr>
                  </w:pPr>
                </w:p>
              </w:tc>
              <w:tc>
                <w:tcPr>
                  <w:tcW w:w="1420" w:type="dxa"/>
                  <w:tcBorders>
                    <w:tl2br w:val="nil"/>
                    <w:tr2bl w:val="nil"/>
                  </w:tcBorders>
                  <w:shd w:val="clear" w:color="auto" w:fill="auto"/>
                  <w:vAlign w:val="center"/>
                </w:tcPr>
                <w:p w14:paraId="0A7CF15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Style w:val="54"/>
                      <w:rFonts w:hint="default" w:ascii="Times New Roman" w:hAnsi="Times New Roman" w:cs="Times New Roman"/>
                      <w:sz w:val="18"/>
                      <w:szCs w:val="18"/>
                      <w:lang w:val="en-US" w:eastAsia="zh-CN" w:bidi="ar"/>
                    </w:rPr>
                    <w:t>乙酸乙酯和乙酸丁酯合计</w:t>
                  </w:r>
                </w:p>
              </w:tc>
              <w:tc>
                <w:tcPr>
                  <w:tcW w:w="939" w:type="dxa"/>
                  <w:tcBorders>
                    <w:tl2br w:val="nil"/>
                    <w:tr2bl w:val="nil"/>
                  </w:tcBorders>
                  <w:shd w:val="clear" w:color="auto" w:fill="auto"/>
                  <w:vAlign w:val="center"/>
                </w:tcPr>
                <w:p w14:paraId="5827860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1402" w:type="dxa"/>
                  <w:vMerge w:val="continue"/>
                  <w:tcBorders>
                    <w:tl2br w:val="nil"/>
                    <w:tr2bl w:val="nil"/>
                  </w:tcBorders>
                  <w:shd w:val="clear" w:color="auto" w:fill="auto"/>
                  <w:vAlign w:val="center"/>
                </w:tcPr>
                <w:p w14:paraId="10D988E8">
                  <w:pPr>
                    <w:jc w:val="center"/>
                    <w:rPr>
                      <w:rFonts w:hint="default" w:ascii="Times New Roman" w:hAnsi="Times New Roman" w:eastAsia="宋体" w:cs="Times New Roman"/>
                      <w:i w:val="0"/>
                      <w:iCs w:val="0"/>
                      <w:color w:val="000000"/>
                      <w:sz w:val="18"/>
                      <w:szCs w:val="18"/>
                      <w:u w:val="none"/>
                    </w:rPr>
                  </w:pPr>
                </w:p>
              </w:tc>
              <w:tc>
                <w:tcPr>
                  <w:tcW w:w="815" w:type="dxa"/>
                  <w:vMerge w:val="continue"/>
                  <w:tcBorders>
                    <w:tl2br w:val="nil"/>
                    <w:tr2bl w:val="nil"/>
                  </w:tcBorders>
                  <w:shd w:val="clear" w:color="auto" w:fill="auto"/>
                  <w:noWrap/>
                  <w:vAlign w:val="center"/>
                </w:tcPr>
                <w:p w14:paraId="4A8F4054">
                  <w:pPr>
                    <w:jc w:val="center"/>
                    <w:rPr>
                      <w:rFonts w:hint="default" w:ascii="Times New Roman" w:hAnsi="Times New Roman" w:eastAsia="宋体" w:cs="Times New Roman"/>
                      <w:i w:val="0"/>
                      <w:iCs w:val="0"/>
                      <w:color w:val="000000"/>
                      <w:sz w:val="18"/>
                      <w:szCs w:val="18"/>
                      <w:u w:val="none"/>
                    </w:rPr>
                  </w:pPr>
                </w:p>
              </w:tc>
              <w:tc>
                <w:tcPr>
                  <w:tcW w:w="815" w:type="dxa"/>
                  <w:tcBorders>
                    <w:tl2br w:val="nil"/>
                    <w:tr2bl w:val="nil"/>
                  </w:tcBorders>
                  <w:shd w:val="clear" w:color="auto" w:fill="auto"/>
                  <w:noWrap/>
                  <w:vAlign w:val="center"/>
                </w:tcPr>
                <w:p w14:paraId="6CA396C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815" w:type="dxa"/>
                  <w:tcBorders>
                    <w:tl2br w:val="nil"/>
                    <w:tr2bl w:val="nil"/>
                  </w:tcBorders>
                  <w:shd w:val="clear" w:color="auto" w:fill="auto"/>
                  <w:noWrap/>
                  <w:vAlign w:val="center"/>
                </w:tcPr>
                <w:p w14:paraId="53C3B0E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815" w:type="dxa"/>
                  <w:tcBorders>
                    <w:tl2br w:val="nil"/>
                    <w:tr2bl w:val="nil"/>
                  </w:tcBorders>
                  <w:shd w:val="clear" w:color="auto" w:fill="auto"/>
                  <w:noWrap/>
                  <w:vAlign w:val="center"/>
                </w:tcPr>
                <w:p w14:paraId="77726E5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2.0178</w:t>
                  </w:r>
                </w:p>
              </w:tc>
              <w:tc>
                <w:tcPr>
                  <w:tcW w:w="815" w:type="dxa"/>
                  <w:tcBorders>
                    <w:tl2br w:val="nil"/>
                    <w:tr2bl w:val="nil"/>
                  </w:tcBorders>
                  <w:shd w:val="clear" w:color="auto" w:fill="auto"/>
                  <w:noWrap/>
                  <w:vAlign w:val="center"/>
                </w:tcPr>
                <w:p w14:paraId="4434186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0.1328</w:t>
                  </w:r>
                </w:p>
              </w:tc>
              <w:tc>
                <w:tcPr>
                  <w:tcW w:w="815" w:type="dxa"/>
                  <w:tcBorders>
                    <w:tl2br w:val="nil"/>
                    <w:tr2bl w:val="nil"/>
                  </w:tcBorders>
                  <w:shd w:val="clear" w:color="auto" w:fill="auto"/>
                  <w:noWrap/>
                  <w:vAlign w:val="center"/>
                </w:tcPr>
                <w:p w14:paraId="6801217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0.0553</w:t>
                  </w:r>
                </w:p>
              </w:tc>
              <w:tc>
                <w:tcPr>
                  <w:tcW w:w="815" w:type="dxa"/>
                  <w:tcBorders>
                    <w:tl2br w:val="nil"/>
                    <w:tr2bl w:val="nil"/>
                  </w:tcBorders>
                  <w:shd w:val="clear" w:color="auto" w:fill="auto"/>
                  <w:noWrap/>
                  <w:vAlign w:val="center"/>
                </w:tcPr>
                <w:p w14:paraId="1929E24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0.5045</w:t>
                  </w:r>
                </w:p>
              </w:tc>
              <w:tc>
                <w:tcPr>
                  <w:tcW w:w="815" w:type="dxa"/>
                  <w:tcBorders>
                    <w:tl2br w:val="nil"/>
                    <w:tr2bl w:val="nil"/>
                  </w:tcBorders>
                  <w:shd w:val="clear" w:color="auto" w:fill="auto"/>
                  <w:noWrap/>
                  <w:vAlign w:val="center"/>
                </w:tcPr>
                <w:p w14:paraId="65465BB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0.2102</w:t>
                  </w:r>
                </w:p>
              </w:tc>
              <w:tc>
                <w:tcPr>
                  <w:tcW w:w="1042" w:type="dxa"/>
                  <w:tcBorders>
                    <w:tl2br w:val="nil"/>
                    <w:tr2bl w:val="nil"/>
                  </w:tcBorders>
                  <w:shd w:val="clear" w:color="auto" w:fill="auto"/>
                  <w:noWrap/>
                  <w:vAlign w:val="center"/>
                </w:tcPr>
                <w:p w14:paraId="0902CC8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14.01</w:t>
                  </w:r>
                </w:p>
              </w:tc>
            </w:tr>
          </w:tbl>
          <w:p w14:paraId="04957084">
            <w:pPr>
              <w:pStyle w:val="15"/>
              <w:jc w:val="center"/>
              <w:rPr>
                <w:rFonts w:hint="default"/>
                <w:lang w:val="en-US" w:eastAsia="zh-CN"/>
              </w:rPr>
            </w:pPr>
          </w:p>
        </w:tc>
      </w:tr>
    </w:tbl>
    <w:p w14:paraId="51F348FA">
      <w:pPr>
        <w:pStyle w:val="16"/>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7"/>
        <w:tblW w:w="8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456"/>
      </w:tblGrid>
      <w:tr w14:paraId="4986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28" w:hRule="atLeast"/>
        </w:trPr>
        <w:tc>
          <w:tcPr>
            <w:tcW w:w="425" w:type="dxa"/>
            <w:vAlign w:val="center"/>
          </w:tcPr>
          <w:p w14:paraId="266298C2">
            <w:pPr>
              <w:pStyle w:val="15"/>
              <w:ind w:left="0" w:leftChars="0" w:firstLine="0" w:firstLineChars="0"/>
              <w:jc w:val="center"/>
              <w:rPr>
                <w:rFonts w:hint="default"/>
                <w:lang w:val="en-US" w:eastAsia="zh-CN"/>
              </w:rPr>
            </w:pPr>
            <w:r>
              <w:rPr>
                <w:rFonts w:hint="eastAsia"/>
                <w:lang w:val="en-US" w:eastAsia="zh-CN"/>
              </w:rPr>
              <w:t>运营期环境影响和保护措施</w:t>
            </w:r>
          </w:p>
        </w:tc>
        <w:tc>
          <w:tcPr>
            <w:tcW w:w="8456" w:type="dxa"/>
            <w:vAlign w:val="top"/>
          </w:tcPr>
          <w:p w14:paraId="0FC6BC11">
            <w:pPr>
              <w:pStyle w:val="15"/>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根据《排污许可证申请与核发技术规范 总则》（HJ942-2018）</w:t>
            </w:r>
            <w:r>
              <w:rPr>
                <w:rFonts w:hint="eastAsia" w:ascii="Times New Roman" w:hAnsi="Times New Roman" w:cs="Times New Roman"/>
                <w:lang w:val="en-US" w:eastAsia="zh-CN"/>
              </w:rPr>
              <w:t>以及《排污单位自行监测技术指南 涂装》（HJ1086-2020）</w:t>
            </w:r>
            <w:r>
              <w:rPr>
                <w:rFonts w:hint="default" w:ascii="Times New Roman" w:hAnsi="Times New Roman" w:cs="Times New Roman"/>
                <w:lang w:val="en-US" w:eastAsia="zh-CN"/>
              </w:rPr>
              <w:t>，废气污染物排放执行标准及监测要求详</w:t>
            </w:r>
            <w:r>
              <w:rPr>
                <w:rFonts w:hint="default" w:ascii="Times New Roman" w:hAnsi="Times New Roman" w:cs="Times New Roman"/>
              </w:rPr>
              <w:t>见表</w:t>
            </w:r>
            <w:r>
              <w:rPr>
                <w:rFonts w:hint="default" w:ascii="Times New Roman" w:hAnsi="Times New Roman" w:cs="Times New Roman"/>
                <w:lang w:val="en-US" w:eastAsia="zh-CN"/>
              </w:rPr>
              <w:t>4-</w:t>
            </w:r>
            <w:r>
              <w:rPr>
                <w:rFonts w:hint="eastAsia" w:ascii="Times New Roman" w:hAnsi="Times New Roman" w:cs="Times New Roman"/>
                <w:lang w:val="en-US" w:eastAsia="zh-CN"/>
              </w:rPr>
              <w:t>7。</w:t>
            </w:r>
          </w:p>
          <w:p w14:paraId="25558F18">
            <w:pPr>
              <w:widowControl w:val="0"/>
              <w:wordWrap/>
              <w:adjustRightInd/>
              <w:snapToGrid/>
              <w:spacing w:line="360" w:lineRule="auto"/>
              <w:ind w:firstLine="0" w:firstLineChars="0"/>
              <w:jc w:val="center"/>
              <w:textAlignment w:val="auto"/>
              <w:rPr>
                <w:rFonts w:hint="default"/>
                <w:b/>
                <w:bCs/>
                <w:color w:val="auto"/>
                <w:lang w:val="en-US" w:eastAsia="zh-CN"/>
              </w:rPr>
            </w:pPr>
            <w:r>
              <w:rPr>
                <w:rFonts w:hint="eastAsia"/>
                <w:b/>
                <w:bCs/>
                <w:color w:val="auto"/>
                <w:lang w:val="en-US" w:eastAsia="zh-CN"/>
              </w:rPr>
              <w:t>表4-7  废气污染物排放执行标准及监测要求一览表</w:t>
            </w:r>
          </w:p>
          <w:tbl>
            <w:tblPr>
              <w:tblStyle w:val="17"/>
              <w:tblW w:w="7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
              <w:gridCol w:w="675"/>
              <w:gridCol w:w="1354"/>
              <w:gridCol w:w="2835"/>
              <w:gridCol w:w="977"/>
              <w:gridCol w:w="887"/>
              <w:gridCol w:w="780"/>
            </w:tblGrid>
            <w:tr w14:paraId="7ADF5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65" w:type="dxa"/>
                  <w:gridSpan w:val="2"/>
                  <w:vMerge w:val="restart"/>
                  <w:tcBorders>
                    <w:tl2br w:val="nil"/>
                    <w:tr2bl w:val="nil"/>
                  </w:tcBorders>
                  <w:vAlign w:val="center"/>
                </w:tcPr>
                <w:p w14:paraId="1250A0E8">
                  <w:pPr>
                    <w:pStyle w:val="11"/>
                    <w:wordWrap/>
                    <w:spacing w:line="240" w:lineRule="auto"/>
                    <w:ind w:left="0" w:lef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排放口编号/监测点位</w:t>
                  </w:r>
                </w:p>
              </w:tc>
              <w:tc>
                <w:tcPr>
                  <w:tcW w:w="1354" w:type="dxa"/>
                  <w:vMerge w:val="restart"/>
                  <w:tcBorders>
                    <w:tl2br w:val="nil"/>
                    <w:tr2bl w:val="nil"/>
                  </w:tcBorders>
                  <w:vAlign w:val="center"/>
                </w:tcPr>
                <w:p w14:paraId="13A19D5D">
                  <w:pPr>
                    <w:pStyle w:val="11"/>
                    <w:wordWrap/>
                    <w:spacing w:line="240" w:lineRule="auto"/>
                    <w:ind w:left="0" w:lef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污染物种类</w:t>
                  </w:r>
                </w:p>
              </w:tc>
              <w:tc>
                <w:tcPr>
                  <w:tcW w:w="4699" w:type="dxa"/>
                  <w:gridSpan w:val="3"/>
                  <w:tcBorders>
                    <w:tl2br w:val="nil"/>
                    <w:tr2bl w:val="nil"/>
                  </w:tcBorders>
                  <w:vAlign w:val="center"/>
                </w:tcPr>
                <w:p w14:paraId="2C84EB34">
                  <w:pPr>
                    <w:pStyle w:val="11"/>
                    <w:wordWrap/>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国家或地方污染物排放标准</w:t>
                  </w:r>
                </w:p>
              </w:tc>
              <w:tc>
                <w:tcPr>
                  <w:tcW w:w="780" w:type="dxa"/>
                  <w:vMerge w:val="restart"/>
                  <w:tcBorders>
                    <w:tl2br w:val="nil"/>
                    <w:tr2bl w:val="nil"/>
                  </w:tcBorders>
                  <w:vAlign w:val="center"/>
                </w:tcPr>
                <w:p w14:paraId="3997825A">
                  <w:pPr>
                    <w:pStyle w:val="11"/>
                    <w:wordWrap/>
                    <w:spacing w:line="240" w:lineRule="auto"/>
                    <w:ind w:left="0" w:lef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最低监测频次</w:t>
                  </w:r>
                </w:p>
              </w:tc>
            </w:tr>
            <w:tr w14:paraId="1FC69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7636C214">
                  <w:pPr>
                    <w:pStyle w:val="11"/>
                    <w:wordWrap/>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1354" w:type="dxa"/>
                  <w:vMerge w:val="continue"/>
                  <w:tcBorders>
                    <w:tl2br w:val="nil"/>
                    <w:tr2bl w:val="nil"/>
                  </w:tcBorders>
                  <w:vAlign w:val="center"/>
                </w:tcPr>
                <w:p w14:paraId="068929E8">
                  <w:pPr>
                    <w:pStyle w:val="11"/>
                    <w:wordWrap/>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2835" w:type="dxa"/>
                  <w:tcBorders>
                    <w:tl2br w:val="nil"/>
                    <w:tr2bl w:val="nil"/>
                  </w:tcBorders>
                  <w:vAlign w:val="center"/>
                </w:tcPr>
                <w:p w14:paraId="55A64362">
                  <w:pPr>
                    <w:pStyle w:val="11"/>
                    <w:wordWrap/>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名称</w:t>
                  </w:r>
                </w:p>
              </w:tc>
              <w:tc>
                <w:tcPr>
                  <w:tcW w:w="977" w:type="dxa"/>
                  <w:tcBorders>
                    <w:tl2br w:val="nil"/>
                    <w:tr2bl w:val="nil"/>
                  </w:tcBorders>
                  <w:vAlign w:val="center"/>
                </w:tcPr>
                <w:p w14:paraId="6B4AA7B1">
                  <w:pPr>
                    <w:pStyle w:val="11"/>
                    <w:wordWrap/>
                    <w:spacing w:line="240" w:lineRule="auto"/>
                    <w:ind w:left="0" w:leftChars="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浓度限值</w:t>
                  </w:r>
                  <w:r>
                    <w:rPr>
                      <w:rFonts w:hint="default" w:ascii="Times New Roman" w:hAnsi="Times New Roman" w:eastAsia="宋体" w:cs="Times New Roman"/>
                      <w:b/>
                      <w:bCs/>
                      <w:color w:val="auto"/>
                      <w:sz w:val="18"/>
                      <w:szCs w:val="18"/>
                    </w:rPr>
                    <w:t>(mg/m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w:t>
                  </w:r>
                </w:p>
              </w:tc>
              <w:tc>
                <w:tcPr>
                  <w:tcW w:w="887" w:type="dxa"/>
                  <w:tcBorders>
                    <w:tl2br w:val="nil"/>
                    <w:tr2bl w:val="nil"/>
                  </w:tcBorders>
                  <w:vAlign w:val="center"/>
                </w:tcPr>
                <w:p w14:paraId="7DA6E13C">
                  <w:pPr>
                    <w:pStyle w:val="11"/>
                    <w:wordWrap/>
                    <w:spacing w:line="240" w:lineRule="auto"/>
                    <w:ind w:left="0" w:leftChars="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速率限值</w:t>
                  </w:r>
                  <w:r>
                    <w:rPr>
                      <w:rFonts w:hint="default" w:ascii="Times New Roman" w:hAnsi="Times New Roman" w:eastAsia="宋体" w:cs="Times New Roman"/>
                      <w:b/>
                      <w:bCs/>
                      <w:color w:val="auto"/>
                      <w:sz w:val="18"/>
                      <w:szCs w:val="18"/>
                    </w:rPr>
                    <w:t>(kg/h)</w:t>
                  </w:r>
                </w:p>
              </w:tc>
              <w:tc>
                <w:tcPr>
                  <w:tcW w:w="780" w:type="dxa"/>
                  <w:vMerge w:val="continue"/>
                  <w:tcBorders>
                    <w:tl2br w:val="nil"/>
                    <w:tr2bl w:val="nil"/>
                  </w:tcBorders>
                  <w:vAlign w:val="center"/>
                </w:tcPr>
                <w:p w14:paraId="0B595B4F">
                  <w:pPr>
                    <w:pStyle w:val="11"/>
                    <w:wordWrap/>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r>
            <w:tr w14:paraId="30AD6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restart"/>
                  <w:tcBorders>
                    <w:tl2br w:val="nil"/>
                    <w:tr2bl w:val="nil"/>
                  </w:tcBorders>
                  <w:vAlign w:val="center"/>
                </w:tcPr>
                <w:p w14:paraId="4E456C91">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DA00</w:t>
                  </w:r>
                  <w:r>
                    <w:rPr>
                      <w:rFonts w:hint="eastAsia" w:ascii="Times New Roman" w:hAnsi="Times New Roman" w:cs="Times New Roman"/>
                      <w:color w:val="auto"/>
                      <w:sz w:val="18"/>
                      <w:szCs w:val="18"/>
                      <w:highlight w:val="none"/>
                      <w:lang w:val="en-US" w:eastAsia="zh-CN"/>
                    </w:rPr>
                    <w:t>1</w:t>
                  </w:r>
                </w:p>
              </w:tc>
              <w:tc>
                <w:tcPr>
                  <w:tcW w:w="1354" w:type="dxa"/>
                  <w:tcBorders>
                    <w:tl2br w:val="nil"/>
                    <w:tr2bl w:val="nil"/>
                  </w:tcBorders>
                  <w:vAlign w:val="center"/>
                </w:tcPr>
                <w:p w14:paraId="41432D39">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颗粒物</w:t>
                  </w:r>
                </w:p>
              </w:tc>
              <w:tc>
                <w:tcPr>
                  <w:tcW w:w="2835" w:type="dxa"/>
                  <w:tcBorders>
                    <w:tl2br w:val="nil"/>
                    <w:tr2bl w:val="nil"/>
                  </w:tcBorders>
                  <w:vAlign w:val="center"/>
                </w:tcPr>
                <w:p w14:paraId="34537570">
                  <w:pPr>
                    <w:widowControl/>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cs="Times New Roman"/>
                      <w:color w:val="auto"/>
                      <w:kern w:val="2"/>
                      <w:sz w:val="18"/>
                      <w:szCs w:val="18"/>
                      <w:lang w:val="en-US" w:eastAsia="zh-CN" w:bidi="ar-SA"/>
                    </w:rPr>
                    <w:t>大气</w:t>
                  </w:r>
                  <w:r>
                    <w:rPr>
                      <w:rFonts w:hint="default" w:ascii="Times New Roman" w:hAnsi="Times New Roman" w:eastAsia="宋体" w:cs="Times New Roman"/>
                      <w:color w:val="auto"/>
                      <w:kern w:val="2"/>
                      <w:sz w:val="18"/>
                      <w:szCs w:val="18"/>
                      <w:lang w:val="en-US" w:eastAsia="zh-CN" w:bidi="ar-SA"/>
                    </w:rPr>
                    <w:t>污染物</w:t>
                  </w:r>
                  <w:r>
                    <w:rPr>
                      <w:rFonts w:hint="default" w:ascii="Times New Roman" w:hAnsi="Times New Roman" w:cs="Times New Roman"/>
                      <w:color w:val="auto"/>
                      <w:kern w:val="2"/>
                      <w:sz w:val="18"/>
                      <w:szCs w:val="18"/>
                      <w:lang w:val="en-US" w:eastAsia="zh-CN" w:bidi="ar-SA"/>
                    </w:rPr>
                    <w:t>综合</w:t>
                  </w:r>
                  <w:r>
                    <w:rPr>
                      <w:rFonts w:hint="default" w:ascii="Times New Roman" w:hAnsi="Times New Roman" w:eastAsia="宋体" w:cs="Times New Roman"/>
                      <w:color w:val="auto"/>
                      <w:kern w:val="2"/>
                      <w:sz w:val="18"/>
                      <w:szCs w:val="18"/>
                      <w:lang w:val="en-US" w:eastAsia="zh-CN" w:bidi="ar-SA"/>
                    </w:rPr>
                    <w:t>排放标准》（GB</w:t>
                  </w:r>
                  <w:r>
                    <w:rPr>
                      <w:rFonts w:hint="default" w:ascii="Times New Roman" w:hAnsi="Times New Roman" w:cs="Times New Roman"/>
                      <w:color w:val="auto"/>
                      <w:kern w:val="2"/>
                      <w:sz w:val="18"/>
                      <w:szCs w:val="18"/>
                      <w:lang w:val="en-US" w:eastAsia="zh-CN" w:bidi="ar-SA"/>
                    </w:rPr>
                    <w:t>16297</w:t>
                  </w: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cs="Times New Roman"/>
                      <w:color w:val="auto"/>
                      <w:kern w:val="2"/>
                      <w:sz w:val="18"/>
                      <w:szCs w:val="18"/>
                      <w:lang w:val="en-US" w:eastAsia="zh-CN" w:bidi="ar-SA"/>
                    </w:rPr>
                    <w:t>1996</w:t>
                  </w:r>
                  <w:r>
                    <w:rPr>
                      <w:rFonts w:hint="default" w:ascii="Times New Roman" w:hAnsi="Times New Roman" w:eastAsia="宋体" w:cs="Times New Roman"/>
                      <w:color w:val="auto"/>
                      <w:kern w:val="2"/>
                      <w:sz w:val="18"/>
                      <w:szCs w:val="18"/>
                      <w:lang w:val="en-US" w:eastAsia="zh-CN" w:bidi="ar-SA"/>
                    </w:rPr>
                    <w:t>）</w:t>
                  </w:r>
                </w:p>
              </w:tc>
              <w:tc>
                <w:tcPr>
                  <w:tcW w:w="977" w:type="dxa"/>
                  <w:tcBorders>
                    <w:tl2br w:val="nil"/>
                    <w:tr2bl w:val="nil"/>
                  </w:tcBorders>
                  <w:vAlign w:val="center"/>
                </w:tcPr>
                <w:p w14:paraId="71905275">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120</w:t>
                  </w:r>
                </w:p>
              </w:tc>
              <w:tc>
                <w:tcPr>
                  <w:tcW w:w="887" w:type="dxa"/>
                  <w:tcBorders>
                    <w:tl2br w:val="nil"/>
                    <w:tr2bl w:val="nil"/>
                  </w:tcBorders>
                  <w:vAlign w:val="center"/>
                </w:tcPr>
                <w:p w14:paraId="6261B3FB">
                  <w:pPr>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1.75</w:t>
                  </w:r>
                </w:p>
              </w:tc>
              <w:tc>
                <w:tcPr>
                  <w:tcW w:w="780" w:type="dxa"/>
                  <w:vMerge w:val="restart"/>
                  <w:tcBorders>
                    <w:tl2br w:val="nil"/>
                    <w:tr2bl w:val="nil"/>
                  </w:tcBorders>
                  <w:vAlign w:val="center"/>
                </w:tcPr>
                <w:p w14:paraId="3CE6ACFF">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1次/年</w:t>
                  </w:r>
                </w:p>
              </w:tc>
            </w:tr>
            <w:tr w14:paraId="77B9B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793A2CC7">
                  <w:pPr>
                    <w:pStyle w:val="11"/>
                    <w:wordWrap/>
                    <w:spacing w:line="240" w:lineRule="auto"/>
                    <w:ind w:left="0" w:lef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1354" w:type="dxa"/>
                  <w:tcBorders>
                    <w:tl2br w:val="nil"/>
                    <w:tr2bl w:val="nil"/>
                  </w:tcBorders>
                  <w:vAlign w:val="center"/>
                </w:tcPr>
                <w:p w14:paraId="0B5205AB">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2835" w:type="dxa"/>
                  <w:vMerge w:val="restart"/>
                  <w:tcBorders>
                    <w:tl2br w:val="nil"/>
                    <w:tr2bl w:val="nil"/>
                  </w:tcBorders>
                  <w:vAlign w:val="center"/>
                </w:tcPr>
                <w:p w14:paraId="4A49B818">
                  <w:pPr>
                    <w:widowControl/>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《工业涂装工序挥发性有机物排放标准》(DB35/1783-2018)</w:t>
                  </w:r>
                </w:p>
              </w:tc>
              <w:tc>
                <w:tcPr>
                  <w:tcW w:w="977" w:type="dxa"/>
                  <w:tcBorders>
                    <w:tl2br w:val="nil"/>
                    <w:tr2bl w:val="nil"/>
                  </w:tcBorders>
                  <w:vAlign w:val="center"/>
                </w:tcPr>
                <w:p w14:paraId="74321913">
                  <w:pPr>
                    <w:pStyle w:val="31"/>
                    <w:spacing w:before="47" w:line="240" w:lineRule="auto"/>
                    <w:ind w:left="0" w:leftChars="0" w:right="0" w:rightChars="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sz w:val="18"/>
                      <w:szCs w:val="18"/>
                    </w:rPr>
                    <w:t>50</w:t>
                  </w:r>
                </w:p>
              </w:tc>
              <w:tc>
                <w:tcPr>
                  <w:tcW w:w="887" w:type="dxa"/>
                  <w:tcBorders>
                    <w:tl2br w:val="nil"/>
                    <w:tr2bl w:val="nil"/>
                  </w:tcBorders>
                  <w:vAlign w:val="center"/>
                </w:tcPr>
                <w:p w14:paraId="4D3C314C">
                  <w:pPr>
                    <w:pStyle w:val="31"/>
                    <w:spacing w:before="2" w:line="240" w:lineRule="auto"/>
                    <w:ind w:left="0" w:leftChars="0" w:right="0" w:rightChars="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Times New Roman" w:cs="Times New Roman"/>
                      <w:sz w:val="18"/>
                      <w:szCs w:val="18"/>
                    </w:rPr>
                    <w:t>2.9</w:t>
                  </w:r>
                </w:p>
              </w:tc>
              <w:tc>
                <w:tcPr>
                  <w:tcW w:w="780" w:type="dxa"/>
                  <w:vMerge w:val="continue"/>
                  <w:tcBorders>
                    <w:tl2br w:val="nil"/>
                    <w:tr2bl w:val="nil"/>
                  </w:tcBorders>
                  <w:vAlign w:val="center"/>
                </w:tcPr>
                <w:p w14:paraId="5D29BFFF">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7216A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728EDF76">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354" w:type="dxa"/>
                  <w:tcBorders>
                    <w:tl2br w:val="nil"/>
                    <w:tr2bl w:val="nil"/>
                  </w:tcBorders>
                  <w:vAlign w:val="center"/>
                </w:tcPr>
                <w:p w14:paraId="0C4B758C">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甲苯</w:t>
                  </w:r>
                </w:p>
              </w:tc>
              <w:tc>
                <w:tcPr>
                  <w:tcW w:w="2835" w:type="dxa"/>
                  <w:vMerge w:val="continue"/>
                  <w:tcBorders>
                    <w:tl2br w:val="nil"/>
                    <w:tr2bl w:val="nil"/>
                  </w:tcBorders>
                  <w:vAlign w:val="center"/>
                </w:tcPr>
                <w:p w14:paraId="6725E9B9">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977" w:type="dxa"/>
                  <w:tcBorders>
                    <w:tl2br w:val="nil"/>
                    <w:tr2bl w:val="nil"/>
                  </w:tcBorders>
                  <w:vAlign w:val="center"/>
                </w:tcPr>
                <w:p w14:paraId="6D178F29">
                  <w:pPr>
                    <w:pStyle w:val="31"/>
                    <w:spacing w:before="44"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sz w:val="18"/>
                      <w:szCs w:val="18"/>
                      <w:lang w:val="en-US" w:eastAsia="zh-CN"/>
                    </w:rPr>
                    <w:t>5</w:t>
                  </w:r>
                </w:p>
              </w:tc>
              <w:tc>
                <w:tcPr>
                  <w:tcW w:w="887" w:type="dxa"/>
                  <w:tcBorders>
                    <w:tl2br w:val="nil"/>
                    <w:tr2bl w:val="nil"/>
                  </w:tcBorders>
                  <w:vAlign w:val="center"/>
                </w:tcPr>
                <w:p w14:paraId="42C00AE4">
                  <w:pPr>
                    <w:pStyle w:val="31"/>
                    <w:spacing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Times New Roman" w:cs="Times New Roman"/>
                      <w:sz w:val="18"/>
                      <w:szCs w:val="18"/>
                    </w:rPr>
                    <w:t>0.</w:t>
                  </w:r>
                  <w:r>
                    <w:rPr>
                      <w:rFonts w:hint="eastAsia" w:eastAsia="宋体" w:cs="Times New Roman"/>
                      <w:sz w:val="18"/>
                      <w:szCs w:val="18"/>
                      <w:lang w:val="en-US" w:eastAsia="zh-CN"/>
                    </w:rPr>
                    <w:t>4</w:t>
                  </w:r>
                </w:p>
              </w:tc>
              <w:tc>
                <w:tcPr>
                  <w:tcW w:w="780" w:type="dxa"/>
                  <w:vMerge w:val="continue"/>
                  <w:tcBorders>
                    <w:tl2br w:val="nil"/>
                    <w:tr2bl w:val="nil"/>
                  </w:tcBorders>
                  <w:vAlign w:val="center"/>
                </w:tcPr>
                <w:p w14:paraId="4E38EDE3">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r>
            <w:tr w14:paraId="4811F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13D13A6E">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354" w:type="dxa"/>
                  <w:tcBorders>
                    <w:tl2br w:val="nil"/>
                    <w:tr2bl w:val="nil"/>
                  </w:tcBorders>
                  <w:vAlign w:val="center"/>
                </w:tcPr>
                <w:p w14:paraId="2A67FFD1">
                  <w:pPr>
                    <w:pStyle w:val="11"/>
                    <w:wordWrap/>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二甲苯</w:t>
                  </w:r>
                </w:p>
              </w:tc>
              <w:tc>
                <w:tcPr>
                  <w:tcW w:w="2835" w:type="dxa"/>
                  <w:vMerge w:val="continue"/>
                  <w:tcBorders>
                    <w:tl2br w:val="nil"/>
                    <w:tr2bl w:val="nil"/>
                  </w:tcBorders>
                  <w:vAlign w:val="center"/>
                </w:tcPr>
                <w:p w14:paraId="3D771000">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c>
                <w:tcPr>
                  <w:tcW w:w="977" w:type="dxa"/>
                  <w:tcBorders>
                    <w:tl2br w:val="nil"/>
                    <w:tr2bl w:val="nil"/>
                  </w:tcBorders>
                  <w:vAlign w:val="center"/>
                </w:tcPr>
                <w:p w14:paraId="685A084E">
                  <w:pPr>
                    <w:pStyle w:val="31"/>
                    <w:spacing w:before="44"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sz w:val="18"/>
                      <w:szCs w:val="18"/>
                    </w:rPr>
                    <w:t>15</w:t>
                  </w:r>
                </w:p>
              </w:tc>
              <w:tc>
                <w:tcPr>
                  <w:tcW w:w="887" w:type="dxa"/>
                  <w:tcBorders>
                    <w:tl2br w:val="nil"/>
                    <w:tr2bl w:val="nil"/>
                  </w:tcBorders>
                  <w:vAlign w:val="center"/>
                </w:tcPr>
                <w:p w14:paraId="49DB710C">
                  <w:pPr>
                    <w:pStyle w:val="31"/>
                    <w:spacing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Times New Roman" w:cs="Times New Roman"/>
                      <w:sz w:val="18"/>
                      <w:szCs w:val="18"/>
                    </w:rPr>
                    <w:t>0.6</w:t>
                  </w:r>
                </w:p>
              </w:tc>
              <w:tc>
                <w:tcPr>
                  <w:tcW w:w="780" w:type="dxa"/>
                  <w:vMerge w:val="continue"/>
                  <w:tcBorders>
                    <w:tl2br w:val="nil"/>
                    <w:tr2bl w:val="nil"/>
                  </w:tcBorders>
                  <w:vAlign w:val="center"/>
                </w:tcPr>
                <w:p w14:paraId="790442C7">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6EE81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5059A228">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354" w:type="dxa"/>
                  <w:tcBorders>
                    <w:tl2br w:val="nil"/>
                    <w:tr2bl w:val="nil"/>
                  </w:tcBorders>
                  <w:vAlign w:val="center"/>
                </w:tcPr>
                <w:p w14:paraId="3528DEAA">
                  <w:pPr>
                    <w:pStyle w:val="11"/>
                    <w:wordWrap/>
                    <w:spacing w:line="240" w:lineRule="auto"/>
                    <w:ind w:left="0" w:lef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sz w:val="18"/>
                      <w:szCs w:val="18"/>
                    </w:rPr>
                    <w:t>乙酸乙酯和乙酸丁酯合计</w:t>
                  </w:r>
                </w:p>
              </w:tc>
              <w:tc>
                <w:tcPr>
                  <w:tcW w:w="2835" w:type="dxa"/>
                  <w:vMerge w:val="continue"/>
                  <w:tcBorders>
                    <w:tl2br w:val="nil"/>
                    <w:tr2bl w:val="nil"/>
                  </w:tcBorders>
                  <w:vAlign w:val="center"/>
                </w:tcPr>
                <w:p w14:paraId="36CF1D92">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c>
                <w:tcPr>
                  <w:tcW w:w="977" w:type="dxa"/>
                  <w:tcBorders>
                    <w:tl2br w:val="nil"/>
                    <w:tr2bl w:val="nil"/>
                  </w:tcBorders>
                  <w:vAlign w:val="center"/>
                </w:tcPr>
                <w:p w14:paraId="5061CD0F">
                  <w:pPr>
                    <w:pStyle w:val="31"/>
                    <w:spacing w:before="145" w:line="240" w:lineRule="auto"/>
                    <w:ind w:left="0" w:leftChars="0" w:right="0" w:rightChars="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sz w:val="18"/>
                      <w:szCs w:val="18"/>
                    </w:rPr>
                    <w:t>40</w:t>
                  </w:r>
                  <w:r>
                    <w:rPr>
                      <w:rFonts w:hint="eastAsia" w:ascii="Times New Roman" w:hAnsi="Times New Roman" w:cs="Times New Roman"/>
                      <w:sz w:val="18"/>
                      <w:szCs w:val="18"/>
                      <w:vertAlign w:val="superscript"/>
                      <w:lang w:val="en-US" w:eastAsia="zh-CN"/>
                    </w:rPr>
                    <w:t>3</w:t>
                  </w:r>
                </w:p>
              </w:tc>
              <w:tc>
                <w:tcPr>
                  <w:tcW w:w="887" w:type="dxa"/>
                  <w:tcBorders>
                    <w:tl2br w:val="nil"/>
                    <w:tr2bl w:val="nil"/>
                  </w:tcBorders>
                  <w:vAlign w:val="center"/>
                </w:tcPr>
                <w:p w14:paraId="2F60A5FB">
                  <w:pPr>
                    <w:pStyle w:val="31"/>
                    <w:spacing w:before="100" w:line="240" w:lineRule="auto"/>
                    <w:ind w:left="0" w:leftChars="0" w:right="0" w:rightChars="0" w:firstLine="0" w:firstLine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Times New Roman" w:cs="Times New Roman"/>
                      <w:sz w:val="18"/>
                      <w:szCs w:val="18"/>
                    </w:rPr>
                    <w:t>1.0</w:t>
                  </w:r>
                </w:p>
              </w:tc>
              <w:tc>
                <w:tcPr>
                  <w:tcW w:w="780" w:type="dxa"/>
                  <w:vMerge w:val="continue"/>
                  <w:tcBorders>
                    <w:tl2br w:val="nil"/>
                    <w:tr2bl w:val="nil"/>
                  </w:tcBorders>
                  <w:vAlign w:val="center"/>
                </w:tcPr>
                <w:p w14:paraId="44939935">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18D53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restart"/>
                  <w:tcBorders>
                    <w:tl2br w:val="nil"/>
                    <w:tr2bl w:val="nil"/>
                  </w:tcBorders>
                  <w:vAlign w:val="center"/>
                </w:tcPr>
                <w:p w14:paraId="61081610">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w:t>
                  </w:r>
                </w:p>
              </w:tc>
              <w:tc>
                <w:tcPr>
                  <w:tcW w:w="1354" w:type="dxa"/>
                  <w:tcBorders>
                    <w:tl2br w:val="nil"/>
                    <w:tr2bl w:val="nil"/>
                  </w:tcBorders>
                  <w:vAlign w:val="center"/>
                </w:tcPr>
                <w:p w14:paraId="10839E72">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2835" w:type="dxa"/>
                  <w:tcBorders>
                    <w:tl2br w:val="nil"/>
                    <w:tr2bl w:val="nil"/>
                  </w:tcBorders>
                  <w:vAlign w:val="center"/>
                </w:tcPr>
                <w:p w14:paraId="08EACA15">
                  <w:pPr>
                    <w:widowControl/>
                    <w:wordWrap/>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cs="Times New Roman"/>
                      <w:color w:val="auto"/>
                      <w:kern w:val="2"/>
                      <w:sz w:val="18"/>
                      <w:szCs w:val="18"/>
                      <w:lang w:val="en-US" w:eastAsia="zh-CN" w:bidi="ar-SA"/>
                    </w:rPr>
                    <w:t>大气</w:t>
                  </w:r>
                  <w:r>
                    <w:rPr>
                      <w:rFonts w:hint="default" w:ascii="Times New Roman" w:hAnsi="Times New Roman" w:eastAsia="宋体" w:cs="Times New Roman"/>
                      <w:color w:val="auto"/>
                      <w:kern w:val="2"/>
                      <w:sz w:val="18"/>
                      <w:szCs w:val="18"/>
                      <w:lang w:val="en-US" w:eastAsia="zh-CN" w:bidi="ar-SA"/>
                    </w:rPr>
                    <w:t>污染物</w:t>
                  </w:r>
                  <w:r>
                    <w:rPr>
                      <w:rFonts w:hint="default" w:ascii="Times New Roman" w:hAnsi="Times New Roman" w:cs="Times New Roman"/>
                      <w:color w:val="auto"/>
                      <w:kern w:val="2"/>
                      <w:sz w:val="18"/>
                      <w:szCs w:val="18"/>
                      <w:lang w:val="en-US" w:eastAsia="zh-CN" w:bidi="ar-SA"/>
                    </w:rPr>
                    <w:t>综合</w:t>
                  </w:r>
                  <w:r>
                    <w:rPr>
                      <w:rFonts w:hint="default" w:ascii="Times New Roman" w:hAnsi="Times New Roman" w:eastAsia="宋体" w:cs="Times New Roman"/>
                      <w:color w:val="auto"/>
                      <w:kern w:val="2"/>
                      <w:sz w:val="18"/>
                      <w:szCs w:val="18"/>
                      <w:lang w:val="en-US" w:eastAsia="zh-CN" w:bidi="ar-SA"/>
                    </w:rPr>
                    <w:t>排放标准》（GB</w:t>
                  </w:r>
                  <w:r>
                    <w:rPr>
                      <w:rFonts w:hint="default" w:ascii="Times New Roman" w:hAnsi="Times New Roman" w:cs="Times New Roman"/>
                      <w:color w:val="auto"/>
                      <w:kern w:val="2"/>
                      <w:sz w:val="18"/>
                      <w:szCs w:val="18"/>
                      <w:lang w:val="en-US" w:eastAsia="zh-CN" w:bidi="ar-SA"/>
                    </w:rPr>
                    <w:t>16297</w:t>
                  </w: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cs="Times New Roman"/>
                      <w:color w:val="auto"/>
                      <w:kern w:val="2"/>
                      <w:sz w:val="18"/>
                      <w:szCs w:val="18"/>
                      <w:lang w:val="en-US" w:eastAsia="zh-CN" w:bidi="ar-SA"/>
                    </w:rPr>
                    <w:t>1996</w:t>
                  </w:r>
                  <w:r>
                    <w:rPr>
                      <w:rFonts w:hint="default" w:ascii="Times New Roman" w:hAnsi="Times New Roman" w:eastAsia="宋体" w:cs="Times New Roman"/>
                      <w:color w:val="auto"/>
                      <w:kern w:val="2"/>
                      <w:sz w:val="18"/>
                      <w:szCs w:val="18"/>
                      <w:lang w:val="en-US" w:eastAsia="zh-CN" w:bidi="ar-SA"/>
                    </w:rPr>
                    <w:t>）</w:t>
                  </w:r>
                </w:p>
              </w:tc>
              <w:tc>
                <w:tcPr>
                  <w:tcW w:w="977" w:type="dxa"/>
                  <w:tcBorders>
                    <w:tl2br w:val="nil"/>
                    <w:tr2bl w:val="nil"/>
                  </w:tcBorders>
                  <w:vAlign w:val="center"/>
                </w:tcPr>
                <w:p w14:paraId="1265830D">
                  <w:pPr>
                    <w:pStyle w:val="31"/>
                    <w:spacing w:before="44"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rPr>
                    <w:t>1.0</w:t>
                  </w:r>
                </w:p>
              </w:tc>
              <w:tc>
                <w:tcPr>
                  <w:tcW w:w="887" w:type="dxa"/>
                  <w:tcBorders>
                    <w:tl2br w:val="nil"/>
                    <w:tr2bl w:val="nil"/>
                  </w:tcBorders>
                  <w:vAlign w:val="center"/>
                </w:tcPr>
                <w:p w14:paraId="2D508FA0">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80" w:type="dxa"/>
                  <w:vMerge w:val="restart"/>
                  <w:tcBorders>
                    <w:tl2br w:val="nil"/>
                    <w:tr2bl w:val="nil"/>
                  </w:tcBorders>
                  <w:vAlign w:val="center"/>
                </w:tcPr>
                <w:p w14:paraId="73FC03BB">
                  <w:pPr>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r>
            <w:tr w14:paraId="0A261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10D3CF7C">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1354" w:type="dxa"/>
                  <w:tcBorders>
                    <w:tl2br w:val="nil"/>
                    <w:tr2bl w:val="nil"/>
                  </w:tcBorders>
                  <w:vAlign w:val="center"/>
                </w:tcPr>
                <w:p w14:paraId="21DC6EFD">
                  <w:pPr>
                    <w:pStyle w:val="31"/>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非甲烷总烃</w:t>
                  </w:r>
                </w:p>
              </w:tc>
              <w:tc>
                <w:tcPr>
                  <w:tcW w:w="2835" w:type="dxa"/>
                  <w:vMerge w:val="restart"/>
                  <w:tcBorders>
                    <w:tl2br w:val="nil"/>
                    <w:tr2bl w:val="nil"/>
                  </w:tcBorders>
                  <w:vAlign w:val="center"/>
                </w:tcPr>
                <w:p w14:paraId="6D72CEC7">
                  <w:pPr>
                    <w:pStyle w:val="11"/>
                    <w:wordWrap/>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《工业涂装工序挥发性有机物排放标准》(DB35/1783-2018)</w:t>
                  </w:r>
                </w:p>
              </w:tc>
              <w:tc>
                <w:tcPr>
                  <w:tcW w:w="977" w:type="dxa"/>
                  <w:tcBorders>
                    <w:tl2br w:val="nil"/>
                    <w:tr2bl w:val="nil"/>
                  </w:tcBorders>
                  <w:vAlign w:val="center"/>
                </w:tcPr>
                <w:p w14:paraId="08323376">
                  <w:pPr>
                    <w:pStyle w:val="31"/>
                    <w:spacing w:before="44"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rPr>
                    <w:t>2.0</w:t>
                  </w:r>
                </w:p>
              </w:tc>
              <w:tc>
                <w:tcPr>
                  <w:tcW w:w="887" w:type="dxa"/>
                  <w:tcBorders>
                    <w:tl2br w:val="nil"/>
                    <w:tr2bl w:val="nil"/>
                  </w:tcBorders>
                  <w:vAlign w:val="center"/>
                </w:tcPr>
                <w:p w14:paraId="3819ADB0">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80" w:type="dxa"/>
                  <w:vMerge w:val="continue"/>
                  <w:tcBorders>
                    <w:tl2br w:val="nil"/>
                    <w:tr2bl w:val="nil"/>
                  </w:tcBorders>
                  <w:vAlign w:val="center"/>
                </w:tcPr>
                <w:p w14:paraId="7E2FAA66">
                  <w:pPr>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13894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4344C61F">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1354" w:type="dxa"/>
                  <w:tcBorders>
                    <w:tl2br w:val="nil"/>
                    <w:tr2bl w:val="nil"/>
                  </w:tcBorders>
                  <w:vAlign w:val="center"/>
                </w:tcPr>
                <w:p w14:paraId="3E210888">
                  <w:pPr>
                    <w:pStyle w:val="31"/>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sz w:val="18"/>
                      <w:szCs w:val="18"/>
                      <w:lang w:val="en-US" w:eastAsia="zh-CN"/>
                    </w:rPr>
                    <w:t>甲苯</w:t>
                  </w:r>
                </w:p>
              </w:tc>
              <w:tc>
                <w:tcPr>
                  <w:tcW w:w="2835" w:type="dxa"/>
                  <w:vMerge w:val="continue"/>
                  <w:tcBorders>
                    <w:tl2br w:val="nil"/>
                    <w:tr2bl w:val="nil"/>
                  </w:tcBorders>
                  <w:vAlign w:val="center"/>
                </w:tcPr>
                <w:p w14:paraId="0F4BDD20">
                  <w:pPr>
                    <w:widowControl/>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977" w:type="dxa"/>
                  <w:tcBorders>
                    <w:tl2br w:val="nil"/>
                    <w:tr2bl w:val="nil"/>
                  </w:tcBorders>
                  <w:vAlign w:val="center"/>
                </w:tcPr>
                <w:p w14:paraId="479366DD">
                  <w:pPr>
                    <w:pStyle w:val="31"/>
                    <w:spacing w:before="44"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rPr>
                    <w:t>0.</w:t>
                  </w:r>
                  <w:r>
                    <w:rPr>
                      <w:rFonts w:hint="eastAsia" w:cs="Times New Roman"/>
                      <w:sz w:val="18"/>
                      <w:szCs w:val="18"/>
                      <w:lang w:val="en-US" w:eastAsia="zh-CN"/>
                    </w:rPr>
                    <w:t>6</w:t>
                  </w:r>
                </w:p>
              </w:tc>
              <w:tc>
                <w:tcPr>
                  <w:tcW w:w="887" w:type="dxa"/>
                  <w:tcBorders>
                    <w:tl2br w:val="nil"/>
                    <w:tr2bl w:val="nil"/>
                  </w:tcBorders>
                  <w:vAlign w:val="center"/>
                </w:tcPr>
                <w:p w14:paraId="22CCE86B">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80" w:type="dxa"/>
                  <w:vMerge w:val="continue"/>
                  <w:tcBorders>
                    <w:tl2br w:val="nil"/>
                    <w:tr2bl w:val="nil"/>
                  </w:tcBorders>
                  <w:vAlign w:val="center"/>
                </w:tcPr>
                <w:p w14:paraId="7674E259">
                  <w:pPr>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63011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3D009B20">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1354" w:type="dxa"/>
                  <w:tcBorders>
                    <w:tl2br w:val="nil"/>
                    <w:tr2bl w:val="nil"/>
                  </w:tcBorders>
                  <w:vAlign w:val="center"/>
                </w:tcPr>
                <w:p w14:paraId="2F670662">
                  <w:pPr>
                    <w:pStyle w:val="31"/>
                    <w:spacing w:line="240" w:lineRule="auto"/>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sz w:val="18"/>
                      <w:szCs w:val="18"/>
                    </w:rPr>
                    <w:t>二甲苯</w:t>
                  </w:r>
                </w:p>
              </w:tc>
              <w:tc>
                <w:tcPr>
                  <w:tcW w:w="2835" w:type="dxa"/>
                  <w:vMerge w:val="continue"/>
                  <w:tcBorders>
                    <w:tl2br w:val="nil"/>
                    <w:tr2bl w:val="nil"/>
                  </w:tcBorders>
                  <w:vAlign w:val="center"/>
                </w:tcPr>
                <w:p w14:paraId="16FAFF33">
                  <w:pPr>
                    <w:widowControl/>
                    <w:wordWrap/>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977" w:type="dxa"/>
                  <w:tcBorders>
                    <w:tl2br w:val="nil"/>
                    <w:tr2bl w:val="nil"/>
                  </w:tcBorders>
                  <w:vAlign w:val="center"/>
                </w:tcPr>
                <w:p w14:paraId="4AAB0427">
                  <w:pPr>
                    <w:pStyle w:val="31"/>
                    <w:spacing w:before="44"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rPr>
                    <w:t>0.2</w:t>
                  </w:r>
                </w:p>
              </w:tc>
              <w:tc>
                <w:tcPr>
                  <w:tcW w:w="887" w:type="dxa"/>
                  <w:tcBorders>
                    <w:tl2br w:val="nil"/>
                    <w:tr2bl w:val="nil"/>
                  </w:tcBorders>
                  <w:vAlign w:val="center"/>
                </w:tcPr>
                <w:p w14:paraId="1C1242EF">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80" w:type="dxa"/>
                  <w:vMerge w:val="continue"/>
                  <w:tcBorders>
                    <w:tl2br w:val="nil"/>
                    <w:tr2bl w:val="nil"/>
                  </w:tcBorders>
                  <w:vAlign w:val="center"/>
                </w:tcPr>
                <w:p w14:paraId="0A45FB47">
                  <w:pPr>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4C649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gridSpan w:val="2"/>
                  <w:vMerge w:val="continue"/>
                  <w:tcBorders>
                    <w:tl2br w:val="nil"/>
                    <w:tr2bl w:val="nil"/>
                  </w:tcBorders>
                  <w:vAlign w:val="center"/>
                </w:tcPr>
                <w:p w14:paraId="6EE38E81">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1354" w:type="dxa"/>
                  <w:tcBorders>
                    <w:tl2br w:val="nil"/>
                    <w:tr2bl w:val="nil"/>
                  </w:tcBorders>
                  <w:vAlign w:val="center"/>
                </w:tcPr>
                <w:p w14:paraId="4ECFFF02">
                  <w:pPr>
                    <w:pStyle w:val="31"/>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z w:val="18"/>
                      <w:szCs w:val="18"/>
                    </w:rPr>
                    <w:t>乙酸乙酯</w:t>
                  </w:r>
                </w:p>
              </w:tc>
              <w:tc>
                <w:tcPr>
                  <w:tcW w:w="2835" w:type="dxa"/>
                  <w:vMerge w:val="continue"/>
                  <w:tcBorders>
                    <w:tl2br w:val="nil"/>
                    <w:tr2bl w:val="nil"/>
                  </w:tcBorders>
                  <w:vAlign w:val="center"/>
                </w:tcPr>
                <w:p w14:paraId="29C5EBAC">
                  <w:pPr>
                    <w:widowControl/>
                    <w:wordWrap/>
                    <w:spacing w:line="240" w:lineRule="auto"/>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977" w:type="dxa"/>
                  <w:tcBorders>
                    <w:tl2br w:val="nil"/>
                    <w:tr2bl w:val="nil"/>
                  </w:tcBorders>
                  <w:vAlign w:val="center"/>
                </w:tcPr>
                <w:p w14:paraId="3195A5BA">
                  <w:pPr>
                    <w:pStyle w:val="31"/>
                    <w:spacing w:before="44"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sz w:val="18"/>
                      <w:szCs w:val="18"/>
                    </w:rPr>
                    <w:t>1.0</w:t>
                  </w:r>
                </w:p>
              </w:tc>
              <w:tc>
                <w:tcPr>
                  <w:tcW w:w="887" w:type="dxa"/>
                  <w:tcBorders>
                    <w:tl2br w:val="nil"/>
                    <w:tr2bl w:val="nil"/>
                  </w:tcBorders>
                  <w:vAlign w:val="center"/>
                </w:tcPr>
                <w:p w14:paraId="4964BD55">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780" w:type="dxa"/>
                  <w:vMerge w:val="continue"/>
                  <w:tcBorders>
                    <w:tl2br w:val="nil"/>
                    <w:tr2bl w:val="nil"/>
                  </w:tcBorders>
                  <w:vAlign w:val="center"/>
                </w:tcPr>
                <w:p w14:paraId="5F965E09">
                  <w:pPr>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14:paraId="46288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92" w:hRule="atLeast"/>
                <w:jc w:val="center"/>
              </w:trPr>
              <w:tc>
                <w:tcPr>
                  <w:tcW w:w="390" w:type="dxa"/>
                  <w:vMerge w:val="restart"/>
                  <w:tcBorders>
                    <w:tl2br w:val="nil"/>
                    <w:tr2bl w:val="nil"/>
                  </w:tcBorders>
                  <w:vAlign w:val="center"/>
                </w:tcPr>
                <w:p w14:paraId="31532B66">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厂区内</w:t>
                  </w:r>
                </w:p>
              </w:tc>
              <w:tc>
                <w:tcPr>
                  <w:tcW w:w="675" w:type="dxa"/>
                  <w:tcBorders>
                    <w:tl2br w:val="nil"/>
                    <w:tr2bl w:val="nil"/>
                  </w:tcBorders>
                  <w:vAlign w:val="center"/>
                </w:tcPr>
                <w:p w14:paraId="672358AD">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小时均值</w:t>
                  </w:r>
                </w:p>
              </w:tc>
              <w:tc>
                <w:tcPr>
                  <w:tcW w:w="1354" w:type="dxa"/>
                  <w:vMerge w:val="restart"/>
                  <w:tcBorders>
                    <w:tl2br w:val="nil"/>
                    <w:tr2bl w:val="nil"/>
                  </w:tcBorders>
                  <w:vAlign w:val="center"/>
                </w:tcPr>
                <w:p w14:paraId="6DD15B6F">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2835" w:type="dxa"/>
                  <w:tcBorders>
                    <w:tl2br w:val="nil"/>
                    <w:tr2bl w:val="nil"/>
                  </w:tcBorders>
                  <w:vAlign w:val="center"/>
                </w:tcPr>
                <w:p w14:paraId="73D02FA8">
                  <w:pPr>
                    <w:pStyle w:val="31"/>
                    <w:wordWrap/>
                    <w:spacing w:before="22" w:line="240" w:lineRule="auto"/>
                    <w:ind w:left="0" w:leftChars="0" w:right="95"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《工业涂装工序挥发性有机物排放标准》(DB35/1783-2018)</w:t>
                  </w:r>
                </w:p>
              </w:tc>
              <w:tc>
                <w:tcPr>
                  <w:tcW w:w="977" w:type="dxa"/>
                  <w:tcBorders>
                    <w:tl2br w:val="nil"/>
                    <w:tr2bl w:val="nil"/>
                  </w:tcBorders>
                  <w:vAlign w:val="center"/>
                </w:tcPr>
                <w:p w14:paraId="4096C22E">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w:t>
                  </w:r>
                </w:p>
              </w:tc>
              <w:tc>
                <w:tcPr>
                  <w:tcW w:w="887" w:type="dxa"/>
                  <w:tcBorders>
                    <w:tl2br w:val="nil"/>
                    <w:tr2bl w:val="nil"/>
                  </w:tcBorders>
                  <w:vAlign w:val="center"/>
                </w:tcPr>
                <w:p w14:paraId="76367B68">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80" w:type="dxa"/>
                  <w:tcBorders>
                    <w:tl2br w:val="nil"/>
                    <w:tr2bl w:val="nil"/>
                  </w:tcBorders>
                  <w:vAlign w:val="center"/>
                </w:tcPr>
                <w:p w14:paraId="0FBBB119">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r>
            <w:tr w14:paraId="0AF18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 w:type="dxa"/>
                  <w:vMerge w:val="continue"/>
                  <w:tcBorders>
                    <w:tl2br w:val="nil"/>
                    <w:tr2bl w:val="nil"/>
                  </w:tcBorders>
                  <w:vAlign w:val="center"/>
                </w:tcPr>
                <w:p w14:paraId="5335C9DA">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675" w:type="dxa"/>
                  <w:tcBorders>
                    <w:tl2br w:val="nil"/>
                    <w:tr2bl w:val="nil"/>
                  </w:tcBorders>
                  <w:vAlign w:val="center"/>
                </w:tcPr>
                <w:p w14:paraId="045B0C57">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任意一次浓度值</w:t>
                  </w:r>
                </w:p>
              </w:tc>
              <w:tc>
                <w:tcPr>
                  <w:tcW w:w="1354" w:type="dxa"/>
                  <w:vMerge w:val="continue"/>
                  <w:tcBorders>
                    <w:tl2br w:val="nil"/>
                    <w:tr2bl w:val="nil"/>
                  </w:tcBorders>
                  <w:vAlign w:val="center"/>
                </w:tcPr>
                <w:p w14:paraId="269F9C43">
                  <w:pPr>
                    <w:pStyle w:val="11"/>
                    <w:wordWrap/>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2835" w:type="dxa"/>
                  <w:tcBorders>
                    <w:tl2br w:val="nil"/>
                    <w:tr2bl w:val="nil"/>
                  </w:tcBorders>
                  <w:vAlign w:val="center"/>
                </w:tcPr>
                <w:p w14:paraId="3529EE01">
                  <w:pPr>
                    <w:pStyle w:val="31"/>
                    <w:wordWrap/>
                    <w:spacing w:before="22" w:line="240" w:lineRule="auto"/>
                    <w:ind w:left="0" w:leftChars="0" w:right="95"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rPr>
                    <w:t>《挥发性有机物无组织排放控制标准》GB37822-2019</w:t>
                  </w:r>
                </w:p>
              </w:tc>
              <w:tc>
                <w:tcPr>
                  <w:tcW w:w="977" w:type="dxa"/>
                  <w:tcBorders>
                    <w:tl2br w:val="nil"/>
                    <w:tr2bl w:val="nil"/>
                  </w:tcBorders>
                  <w:vAlign w:val="center"/>
                </w:tcPr>
                <w:p w14:paraId="327BD137">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c>
                <w:tcPr>
                  <w:tcW w:w="887" w:type="dxa"/>
                  <w:tcBorders>
                    <w:tl2br w:val="nil"/>
                    <w:tr2bl w:val="nil"/>
                  </w:tcBorders>
                  <w:vAlign w:val="center"/>
                </w:tcPr>
                <w:p w14:paraId="258A9448">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80" w:type="dxa"/>
                  <w:tcBorders>
                    <w:tl2br w:val="nil"/>
                    <w:tr2bl w:val="nil"/>
                  </w:tcBorders>
                  <w:vAlign w:val="center"/>
                </w:tcPr>
                <w:p w14:paraId="2EEA245D">
                  <w:pPr>
                    <w:pStyle w:val="11"/>
                    <w:wordWrap/>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r>
          </w:tbl>
          <w:p w14:paraId="035EAB7F">
            <w:pPr>
              <w:pStyle w:val="15"/>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（2）非正常工况下废气源强</w:t>
            </w:r>
          </w:p>
          <w:p w14:paraId="126C537A">
            <w:pPr>
              <w:pStyle w:val="15"/>
              <w:spacing w:line="360" w:lineRule="auto"/>
              <w:rPr>
                <w:rFonts w:hint="default" w:ascii="Times New Roman" w:hAnsi="Times New Roman" w:cs="Times New Roman"/>
                <w:lang w:val="en-US" w:eastAsia="zh-CN"/>
              </w:rPr>
            </w:pPr>
            <w:r>
              <w:rPr>
                <w:rFonts w:hint="eastAsia" w:ascii="宋体" w:hAnsi="宋体" w:eastAsia="宋体" w:cs="宋体"/>
                <w:color w:val="auto"/>
                <w:sz w:val="21"/>
                <w:szCs w:val="21"/>
                <w:lang w:eastAsia="zh-CN"/>
              </w:rPr>
              <w:t>本项目废气非正常排放主要可能是废气处理设备出现故障，导致废气中各污染物的超标排放。其中最为严重</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lang w:eastAsia="zh-CN"/>
              </w:rPr>
              <w:t>是处理设备完全失效，废气未经处理直接排放</w:t>
            </w:r>
            <w:r>
              <w:rPr>
                <w:rFonts w:hint="eastAsia" w:ascii="宋体" w:hAnsi="宋体" w:eastAsia="宋体" w:cs="宋体"/>
                <w:color w:val="auto"/>
                <w:sz w:val="21"/>
                <w:szCs w:val="21"/>
                <w:lang w:val="en-US" w:eastAsia="zh-CN"/>
              </w:rPr>
              <w:t>。项目按处理效率为</w:t>
            </w:r>
            <w:r>
              <w:rPr>
                <w:rFonts w:hint="default" w:ascii="Times New Roman" w:hAnsi="Times New Roman" w:eastAsia="宋体" w:cs="Times New Roman"/>
                <w:color w:val="auto"/>
                <w:sz w:val="21"/>
                <w:szCs w:val="21"/>
                <w:lang w:val="en-US" w:eastAsia="zh-CN"/>
              </w:rPr>
              <w:t>0</w:t>
            </w:r>
            <w:r>
              <w:rPr>
                <w:rFonts w:hint="eastAsia" w:ascii="宋体" w:hAnsi="宋体" w:eastAsia="宋体" w:cs="宋体"/>
                <w:color w:val="auto"/>
                <w:sz w:val="21"/>
                <w:szCs w:val="21"/>
                <w:lang w:val="en-US" w:eastAsia="zh-CN"/>
              </w:rPr>
              <w:t>分析废气在非正常工况排放情况。废气在</w:t>
            </w:r>
            <w:r>
              <w:rPr>
                <w:rFonts w:hint="eastAsia" w:ascii="宋体" w:hAnsi="宋体" w:eastAsia="宋体" w:cs="宋体"/>
                <w:color w:val="auto"/>
                <w:sz w:val="21"/>
                <w:szCs w:val="21"/>
                <w:lang w:eastAsia="zh-CN"/>
              </w:rPr>
              <w:t>非正常排放情况下各污染物排放见表</w:t>
            </w:r>
            <w:r>
              <w:rPr>
                <w:rFonts w:hint="default" w:ascii="Times New Roman" w:hAnsi="Times New Roman" w:cs="Times New Roman"/>
                <w:color w:val="auto"/>
                <w:sz w:val="21"/>
                <w:szCs w:val="21"/>
                <w:lang w:val="en-US" w:eastAsia="zh-CN"/>
              </w:rPr>
              <w:t>4-8。</w:t>
            </w:r>
          </w:p>
          <w:p w14:paraId="31CB4614">
            <w:pPr>
              <w:pStyle w:val="15"/>
              <w:spacing w:line="360" w:lineRule="auto"/>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w:t>
            </w:r>
            <w:r>
              <w:rPr>
                <w:rFonts w:hint="eastAsia" w:ascii="Times New Roman" w:hAnsi="Times New Roman" w:cs="Times New Roman"/>
                <w:b/>
                <w:bCs/>
                <w:lang w:val="en-US" w:eastAsia="zh-CN"/>
              </w:rPr>
              <w:t xml:space="preserve">8  </w:t>
            </w:r>
            <w:r>
              <w:rPr>
                <w:rFonts w:hint="default" w:ascii="Times New Roman" w:hAnsi="Times New Roman" w:cs="Times New Roman"/>
                <w:b/>
                <w:bCs/>
                <w:lang w:val="en-US" w:eastAsia="zh-CN"/>
              </w:rPr>
              <w:t>污染源非正常排放情况表</w:t>
            </w:r>
          </w:p>
          <w:tbl>
            <w:tblPr>
              <w:tblStyle w:val="17"/>
              <w:tblW w:w="82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14"/>
              <w:gridCol w:w="1103"/>
              <w:gridCol w:w="963"/>
              <w:gridCol w:w="1041"/>
              <w:gridCol w:w="886"/>
              <w:gridCol w:w="719"/>
              <w:gridCol w:w="755"/>
              <w:gridCol w:w="1224"/>
            </w:tblGrid>
            <w:tr w14:paraId="2A1AF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09" w:type="dxa"/>
                  <w:tcMar>
                    <w:top w:w="0" w:type="dxa"/>
                    <w:left w:w="0" w:type="dxa"/>
                    <w:bottom w:w="0" w:type="dxa"/>
                    <w:right w:w="0" w:type="dxa"/>
                  </w:tcMar>
                  <w:vAlign w:val="center"/>
                </w:tcPr>
                <w:p w14:paraId="3767D778">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污染源</w:t>
                  </w:r>
                </w:p>
              </w:tc>
              <w:tc>
                <w:tcPr>
                  <w:tcW w:w="814" w:type="dxa"/>
                  <w:tcMar>
                    <w:top w:w="0" w:type="dxa"/>
                    <w:left w:w="0" w:type="dxa"/>
                    <w:bottom w:w="0" w:type="dxa"/>
                    <w:right w:w="0" w:type="dxa"/>
                  </w:tcMar>
                  <w:vAlign w:val="center"/>
                </w:tcPr>
                <w:p w14:paraId="42A0B2DF">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非正常排放原因</w:t>
                  </w:r>
                </w:p>
              </w:tc>
              <w:tc>
                <w:tcPr>
                  <w:tcW w:w="1103" w:type="dxa"/>
                  <w:tcMar>
                    <w:top w:w="0" w:type="dxa"/>
                    <w:left w:w="0" w:type="dxa"/>
                    <w:bottom w:w="0" w:type="dxa"/>
                    <w:right w:w="0" w:type="dxa"/>
                  </w:tcMar>
                  <w:vAlign w:val="center"/>
                </w:tcPr>
                <w:p w14:paraId="4489FCE6">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污染物</w:t>
                  </w:r>
                </w:p>
              </w:tc>
              <w:tc>
                <w:tcPr>
                  <w:tcW w:w="963" w:type="dxa"/>
                  <w:tcMar>
                    <w:top w:w="0" w:type="dxa"/>
                    <w:left w:w="0" w:type="dxa"/>
                    <w:bottom w:w="0" w:type="dxa"/>
                    <w:right w:w="0" w:type="dxa"/>
                  </w:tcMar>
                  <w:vAlign w:val="center"/>
                </w:tcPr>
                <w:p w14:paraId="26A1919A">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eastAsia="zh-CN"/>
                    </w:rPr>
                    <w:t>非正常排放量</w:t>
                  </w:r>
                  <w:r>
                    <w:rPr>
                      <w:rFonts w:hint="default" w:ascii="Times New Roman" w:hAnsi="Times New Roman" w:cs="Times New Roman"/>
                      <w:b/>
                      <w:bCs/>
                      <w:sz w:val="18"/>
                      <w:szCs w:val="18"/>
                      <w:lang w:val="en-US" w:eastAsia="zh-CN"/>
                    </w:rPr>
                    <w:t>t/a</w:t>
                  </w:r>
                </w:p>
              </w:tc>
              <w:tc>
                <w:tcPr>
                  <w:tcW w:w="1041" w:type="dxa"/>
                  <w:tcMar>
                    <w:top w:w="0" w:type="dxa"/>
                    <w:left w:w="0" w:type="dxa"/>
                    <w:bottom w:w="0" w:type="dxa"/>
                    <w:right w:w="0" w:type="dxa"/>
                  </w:tcMar>
                  <w:vAlign w:val="center"/>
                </w:tcPr>
                <w:p w14:paraId="1C062028">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非正常排放速率kg/h</w:t>
                  </w:r>
                </w:p>
              </w:tc>
              <w:tc>
                <w:tcPr>
                  <w:tcW w:w="886" w:type="dxa"/>
                  <w:tcMar>
                    <w:top w:w="0" w:type="dxa"/>
                    <w:left w:w="0" w:type="dxa"/>
                    <w:bottom w:w="0" w:type="dxa"/>
                    <w:right w:w="0" w:type="dxa"/>
                  </w:tcMar>
                  <w:vAlign w:val="center"/>
                </w:tcPr>
                <w:p w14:paraId="237D692F">
                  <w:pPr>
                    <w:pStyle w:val="24"/>
                    <w:rPr>
                      <w:rFonts w:hint="default" w:ascii="Times New Roman" w:hAnsi="Times New Roman" w:cs="Times New Roman"/>
                      <w:b/>
                      <w:bCs/>
                      <w:sz w:val="18"/>
                      <w:szCs w:val="18"/>
                      <w:lang w:val="en-US"/>
                    </w:rPr>
                  </w:pPr>
                  <w:r>
                    <w:rPr>
                      <w:rFonts w:hint="default" w:ascii="Times New Roman" w:hAnsi="Times New Roman" w:cs="Times New Roman"/>
                      <w:b/>
                      <w:bCs/>
                      <w:sz w:val="18"/>
                      <w:szCs w:val="18"/>
                    </w:rPr>
                    <w:t>非正常排放</w:t>
                  </w:r>
                  <w:r>
                    <w:rPr>
                      <w:rFonts w:hint="default" w:ascii="Times New Roman" w:hAnsi="Times New Roman" w:cs="Times New Roman"/>
                      <w:b/>
                      <w:bCs/>
                      <w:sz w:val="18"/>
                      <w:szCs w:val="18"/>
                      <w:lang w:eastAsia="zh-CN"/>
                    </w:rPr>
                    <w:t>浓度</w:t>
                  </w:r>
                  <w:r>
                    <w:rPr>
                      <w:rFonts w:hint="default" w:ascii="Times New Roman" w:hAnsi="Times New Roman" w:cs="Times New Roman"/>
                      <w:b/>
                      <w:bCs/>
                      <w:sz w:val="18"/>
                      <w:szCs w:val="18"/>
                      <w:lang w:val="en-US" w:eastAsia="zh-CN"/>
                    </w:rPr>
                    <w:t>mg/m</w:t>
                  </w:r>
                  <w:r>
                    <w:rPr>
                      <w:rFonts w:hint="default" w:ascii="Times New Roman" w:hAnsi="Times New Roman" w:cs="Times New Roman"/>
                      <w:b/>
                      <w:bCs/>
                      <w:sz w:val="18"/>
                      <w:szCs w:val="18"/>
                      <w:vertAlign w:val="superscript"/>
                      <w:lang w:val="en-US" w:eastAsia="zh-CN"/>
                    </w:rPr>
                    <w:t>3</w:t>
                  </w:r>
                </w:p>
              </w:tc>
              <w:tc>
                <w:tcPr>
                  <w:tcW w:w="719" w:type="dxa"/>
                  <w:tcMar>
                    <w:top w:w="0" w:type="dxa"/>
                    <w:left w:w="0" w:type="dxa"/>
                    <w:bottom w:w="0" w:type="dxa"/>
                    <w:right w:w="0" w:type="dxa"/>
                  </w:tcMar>
                  <w:vAlign w:val="center"/>
                </w:tcPr>
                <w:p w14:paraId="4B29CB55">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单次持续时间h</w:t>
                  </w:r>
                </w:p>
              </w:tc>
              <w:tc>
                <w:tcPr>
                  <w:tcW w:w="755" w:type="dxa"/>
                  <w:tcMar>
                    <w:top w:w="0" w:type="dxa"/>
                    <w:left w:w="0" w:type="dxa"/>
                    <w:bottom w:w="0" w:type="dxa"/>
                    <w:right w:w="0" w:type="dxa"/>
                  </w:tcMar>
                  <w:vAlign w:val="center"/>
                </w:tcPr>
                <w:p w14:paraId="735574E9">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年发生频次</w:t>
                  </w:r>
                </w:p>
              </w:tc>
              <w:tc>
                <w:tcPr>
                  <w:tcW w:w="1224" w:type="dxa"/>
                  <w:tcMar>
                    <w:top w:w="0" w:type="dxa"/>
                    <w:left w:w="0" w:type="dxa"/>
                    <w:bottom w:w="0" w:type="dxa"/>
                    <w:right w:w="0" w:type="dxa"/>
                  </w:tcMar>
                  <w:vAlign w:val="center"/>
                </w:tcPr>
                <w:p w14:paraId="67E6B07F">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应对措施</w:t>
                  </w:r>
                </w:p>
              </w:tc>
            </w:tr>
            <w:tr w14:paraId="7DB5B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vMerge w:val="restart"/>
                  <w:tcMar>
                    <w:top w:w="0" w:type="dxa"/>
                    <w:left w:w="0" w:type="dxa"/>
                    <w:bottom w:w="0" w:type="dxa"/>
                    <w:right w:w="0" w:type="dxa"/>
                  </w:tcMar>
                  <w:vAlign w:val="center"/>
                </w:tcPr>
                <w:p w14:paraId="2F0CB07C">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DA00</w:t>
                  </w:r>
                  <w:r>
                    <w:rPr>
                      <w:rFonts w:hint="eastAsia" w:ascii="Times New Roman" w:hAnsi="Times New Roman" w:cs="Times New Roman"/>
                      <w:sz w:val="18"/>
                      <w:szCs w:val="18"/>
                      <w:lang w:val="en-US" w:eastAsia="zh-CN"/>
                    </w:rPr>
                    <w:t>1</w:t>
                  </w:r>
                </w:p>
              </w:tc>
              <w:tc>
                <w:tcPr>
                  <w:tcW w:w="814" w:type="dxa"/>
                  <w:vMerge w:val="restart"/>
                  <w:tcMar>
                    <w:top w:w="0" w:type="dxa"/>
                    <w:left w:w="0" w:type="dxa"/>
                    <w:bottom w:w="0" w:type="dxa"/>
                    <w:right w:w="0" w:type="dxa"/>
                  </w:tcMar>
                  <w:vAlign w:val="center"/>
                </w:tcPr>
                <w:p w14:paraId="42D29CF0">
                  <w:pPr>
                    <w:pStyle w:val="24"/>
                    <w:rPr>
                      <w:rFonts w:hint="default" w:ascii="Times New Roman" w:hAnsi="Times New Roman" w:cs="Times New Roman"/>
                      <w:sz w:val="18"/>
                      <w:szCs w:val="18"/>
                    </w:rPr>
                  </w:pPr>
                  <w:r>
                    <w:rPr>
                      <w:rFonts w:hint="default" w:ascii="Times New Roman" w:hAnsi="Times New Roman" w:cs="Times New Roman"/>
                      <w:sz w:val="18"/>
                      <w:szCs w:val="18"/>
                    </w:rPr>
                    <w:t>废气处理设备出现故障</w:t>
                  </w:r>
                </w:p>
              </w:tc>
              <w:tc>
                <w:tcPr>
                  <w:tcW w:w="1103" w:type="dxa"/>
                  <w:tcMar>
                    <w:top w:w="0" w:type="dxa"/>
                    <w:left w:w="0" w:type="dxa"/>
                    <w:bottom w:w="0" w:type="dxa"/>
                    <w:right w:w="0" w:type="dxa"/>
                  </w:tcMar>
                  <w:vAlign w:val="center"/>
                </w:tcPr>
                <w:p w14:paraId="32357752">
                  <w:pPr>
                    <w:pStyle w:val="24"/>
                    <w:ind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color w:val="auto"/>
                      <w:kern w:val="2"/>
                      <w:sz w:val="18"/>
                      <w:szCs w:val="18"/>
                      <w:highlight w:val="none"/>
                      <w:lang w:val="en-US" w:eastAsia="zh-CN" w:bidi="ar-SA"/>
                    </w:rPr>
                    <w:t>颗粒物</w:t>
                  </w:r>
                </w:p>
              </w:tc>
              <w:tc>
                <w:tcPr>
                  <w:tcW w:w="963" w:type="dxa"/>
                  <w:tcMar>
                    <w:top w:w="0" w:type="dxa"/>
                    <w:left w:w="0" w:type="dxa"/>
                    <w:bottom w:w="0" w:type="dxa"/>
                    <w:right w:w="0" w:type="dxa"/>
                  </w:tcMar>
                  <w:vAlign w:val="center"/>
                </w:tcPr>
                <w:p w14:paraId="786B8E5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1.3406</w:t>
                  </w:r>
                </w:p>
              </w:tc>
              <w:tc>
                <w:tcPr>
                  <w:tcW w:w="1041" w:type="dxa"/>
                  <w:tcMar>
                    <w:top w:w="0" w:type="dxa"/>
                    <w:left w:w="0" w:type="dxa"/>
                    <w:bottom w:w="0" w:type="dxa"/>
                    <w:right w:w="0" w:type="dxa"/>
                  </w:tcMar>
                  <w:vAlign w:val="center"/>
                </w:tcPr>
                <w:p w14:paraId="0DF8D68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0.5530</w:t>
                  </w:r>
                </w:p>
              </w:tc>
              <w:tc>
                <w:tcPr>
                  <w:tcW w:w="886" w:type="dxa"/>
                  <w:tcMar>
                    <w:top w:w="0" w:type="dxa"/>
                    <w:left w:w="0" w:type="dxa"/>
                    <w:bottom w:w="0" w:type="dxa"/>
                    <w:right w:w="0" w:type="dxa"/>
                  </w:tcMar>
                  <w:vAlign w:val="center"/>
                </w:tcPr>
                <w:p w14:paraId="3371D31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36.87</w:t>
                  </w:r>
                </w:p>
              </w:tc>
              <w:tc>
                <w:tcPr>
                  <w:tcW w:w="719" w:type="dxa"/>
                  <w:tcMar>
                    <w:top w:w="0" w:type="dxa"/>
                    <w:left w:w="0" w:type="dxa"/>
                    <w:bottom w:w="0" w:type="dxa"/>
                    <w:right w:w="0" w:type="dxa"/>
                  </w:tcMar>
                  <w:vAlign w:val="center"/>
                </w:tcPr>
                <w:p w14:paraId="2165CA6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5" w:type="dxa"/>
                  <w:tcMar>
                    <w:top w:w="0" w:type="dxa"/>
                    <w:left w:w="0" w:type="dxa"/>
                    <w:bottom w:w="0" w:type="dxa"/>
                    <w:right w:w="0" w:type="dxa"/>
                  </w:tcMar>
                  <w:vAlign w:val="center"/>
                </w:tcPr>
                <w:p w14:paraId="5FABE43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24" w:type="dxa"/>
                  <w:vMerge w:val="restart"/>
                  <w:tcMar>
                    <w:top w:w="0" w:type="dxa"/>
                    <w:left w:w="0" w:type="dxa"/>
                    <w:bottom w:w="0" w:type="dxa"/>
                    <w:right w:w="0" w:type="dxa"/>
                  </w:tcMar>
                  <w:vAlign w:val="center"/>
                </w:tcPr>
                <w:p w14:paraId="3ADA5E7B">
                  <w:pPr>
                    <w:pStyle w:val="24"/>
                    <w:rPr>
                      <w:rFonts w:hint="default" w:ascii="Times New Roman" w:hAnsi="Times New Roman" w:cs="Times New Roman"/>
                      <w:sz w:val="18"/>
                      <w:szCs w:val="18"/>
                    </w:rPr>
                  </w:pPr>
                  <w:r>
                    <w:rPr>
                      <w:rFonts w:hint="default" w:ascii="Times New Roman" w:hAnsi="Times New Roman" w:cs="Times New Roman"/>
                      <w:sz w:val="18"/>
                      <w:szCs w:val="18"/>
                      <w:lang w:val="en-US" w:eastAsia="zh-CN"/>
                    </w:rPr>
                    <w:t>立即停止相关工序的生产，待故障解除后方可恢复生</w:t>
                  </w:r>
                </w:p>
              </w:tc>
            </w:tr>
            <w:tr w14:paraId="1725E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vMerge w:val="continue"/>
                  <w:tcMar>
                    <w:top w:w="0" w:type="dxa"/>
                    <w:left w:w="0" w:type="dxa"/>
                    <w:bottom w:w="0" w:type="dxa"/>
                    <w:right w:w="0" w:type="dxa"/>
                  </w:tcMar>
                  <w:vAlign w:val="center"/>
                </w:tcPr>
                <w:p w14:paraId="676D7A53">
                  <w:pPr>
                    <w:pStyle w:val="24"/>
                    <w:rPr>
                      <w:rFonts w:hint="default" w:ascii="Times New Roman" w:hAnsi="Times New Roman" w:cs="Times New Roman"/>
                      <w:sz w:val="18"/>
                      <w:szCs w:val="18"/>
                      <w:lang w:val="en-US" w:eastAsia="zh-CN"/>
                    </w:rPr>
                  </w:pPr>
                </w:p>
              </w:tc>
              <w:tc>
                <w:tcPr>
                  <w:tcW w:w="814" w:type="dxa"/>
                  <w:vMerge w:val="continue"/>
                  <w:tcMar>
                    <w:top w:w="0" w:type="dxa"/>
                    <w:left w:w="0" w:type="dxa"/>
                    <w:bottom w:w="0" w:type="dxa"/>
                    <w:right w:w="0" w:type="dxa"/>
                  </w:tcMar>
                  <w:vAlign w:val="center"/>
                </w:tcPr>
                <w:p w14:paraId="39C52D97">
                  <w:pPr>
                    <w:pStyle w:val="24"/>
                    <w:rPr>
                      <w:rFonts w:hint="default" w:ascii="Times New Roman" w:hAnsi="Times New Roman" w:cs="Times New Roman"/>
                      <w:sz w:val="18"/>
                      <w:szCs w:val="18"/>
                    </w:rPr>
                  </w:pPr>
                </w:p>
              </w:tc>
              <w:tc>
                <w:tcPr>
                  <w:tcW w:w="1103" w:type="dxa"/>
                  <w:tcMar>
                    <w:top w:w="0" w:type="dxa"/>
                    <w:left w:w="0" w:type="dxa"/>
                    <w:bottom w:w="0" w:type="dxa"/>
                    <w:right w:w="0" w:type="dxa"/>
                  </w:tcMar>
                  <w:vAlign w:val="center"/>
                </w:tcPr>
                <w:p w14:paraId="6B49347D">
                  <w:pPr>
                    <w:pStyle w:val="24"/>
                    <w:ind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非甲烷总烃</w:t>
                  </w:r>
                </w:p>
              </w:tc>
              <w:tc>
                <w:tcPr>
                  <w:tcW w:w="963" w:type="dxa"/>
                  <w:tcMar>
                    <w:top w:w="0" w:type="dxa"/>
                    <w:left w:w="0" w:type="dxa"/>
                    <w:bottom w:w="0" w:type="dxa"/>
                    <w:right w:w="0" w:type="dxa"/>
                  </w:tcMar>
                  <w:vAlign w:val="center"/>
                </w:tcPr>
                <w:p w14:paraId="02FDA1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5.24</w:t>
                  </w:r>
                </w:p>
              </w:tc>
              <w:tc>
                <w:tcPr>
                  <w:tcW w:w="1041" w:type="dxa"/>
                  <w:tcMar>
                    <w:top w:w="0" w:type="dxa"/>
                    <w:left w:w="0" w:type="dxa"/>
                    <w:bottom w:w="0" w:type="dxa"/>
                    <w:right w:w="0" w:type="dxa"/>
                  </w:tcMar>
                  <w:vAlign w:val="center"/>
                </w:tcPr>
                <w:p w14:paraId="70E620A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2.0722</w:t>
                  </w:r>
                </w:p>
              </w:tc>
              <w:tc>
                <w:tcPr>
                  <w:tcW w:w="886" w:type="dxa"/>
                  <w:tcMar>
                    <w:top w:w="0" w:type="dxa"/>
                    <w:left w:w="0" w:type="dxa"/>
                    <w:bottom w:w="0" w:type="dxa"/>
                    <w:right w:w="0" w:type="dxa"/>
                  </w:tcMar>
                  <w:vAlign w:val="center"/>
                </w:tcPr>
                <w:p w14:paraId="77F31B1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138.15</w:t>
                  </w:r>
                </w:p>
              </w:tc>
              <w:tc>
                <w:tcPr>
                  <w:tcW w:w="719" w:type="dxa"/>
                  <w:tcMar>
                    <w:top w:w="0" w:type="dxa"/>
                    <w:left w:w="0" w:type="dxa"/>
                    <w:bottom w:w="0" w:type="dxa"/>
                    <w:right w:w="0" w:type="dxa"/>
                  </w:tcMar>
                  <w:vAlign w:val="center"/>
                </w:tcPr>
                <w:p w14:paraId="4AAFB79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5" w:type="dxa"/>
                  <w:tcMar>
                    <w:top w:w="0" w:type="dxa"/>
                    <w:left w:w="0" w:type="dxa"/>
                    <w:bottom w:w="0" w:type="dxa"/>
                    <w:right w:w="0" w:type="dxa"/>
                  </w:tcMar>
                  <w:vAlign w:val="center"/>
                </w:tcPr>
                <w:p w14:paraId="6E4D289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24" w:type="dxa"/>
                  <w:vMerge w:val="continue"/>
                  <w:tcMar>
                    <w:top w:w="0" w:type="dxa"/>
                    <w:left w:w="0" w:type="dxa"/>
                    <w:bottom w:w="0" w:type="dxa"/>
                    <w:right w:w="0" w:type="dxa"/>
                  </w:tcMar>
                  <w:vAlign w:val="center"/>
                </w:tcPr>
                <w:p w14:paraId="3E099ACF">
                  <w:pPr>
                    <w:pStyle w:val="24"/>
                    <w:rPr>
                      <w:rFonts w:hint="default" w:ascii="Times New Roman" w:hAnsi="Times New Roman" w:cs="Times New Roman"/>
                      <w:sz w:val="18"/>
                      <w:szCs w:val="18"/>
                    </w:rPr>
                  </w:pPr>
                </w:p>
              </w:tc>
            </w:tr>
            <w:tr w14:paraId="5A42D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vMerge w:val="continue"/>
                  <w:tcMar>
                    <w:top w:w="0" w:type="dxa"/>
                    <w:left w:w="0" w:type="dxa"/>
                    <w:bottom w:w="0" w:type="dxa"/>
                    <w:right w:w="0" w:type="dxa"/>
                  </w:tcMar>
                  <w:vAlign w:val="center"/>
                </w:tcPr>
                <w:p w14:paraId="7156336B">
                  <w:pPr>
                    <w:pStyle w:val="24"/>
                    <w:rPr>
                      <w:rFonts w:hint="default" w:ascii="Times New Roman" w:hAnsi="Times New Roman" w:cs="Times New Roman"/>
                      <w:sz w:val="18"/>
                      <w:szCs w:val="18"/>
                      <w:lang w:val="en-US" w:eastAsia="zh-CN"/>
                    </w:rPr>
                  </w:pPr>
                </w:p>
              </w:tc>
              <w:tc>
                <w:tcPr>
                  <w:tcW w:w="814" w:type="dxa"/>
                  <w:vMerge w:val="continue"/>
                  <w:tcMar>
                    <w:top w:w="0" w:type="dxa"/>
                    <w:left w:w="0" w:type="dxa"/>
                    <w:bottom w:w="0" w:type="dxa"/>
                    <w:right w:w="0" w:type="dxa"/>
                  </w:tcMar>
                  <w:vAlign w:val="center"/>
                </w:tcPr>
                <w:p w14:paraId="01D8425F">
                  <w:pPr>
                    <w:pStyle w:val="24"/>
                    <w:rPr>
                      <w:rFonts w:hint="default" w:ascii="Times New Roman" w:hAnsi="Times New Roman" w:cs="Times New Roman"/>
                      <w:sz w:val="18"/>
                      <w:szCs w:val="18"/>
                    </w:rPr>
                  </w:pPr>
                </w:p>
              </w:tc>
              <w:tc>
                <w:tcPr>
                  <w:tcW w:w="1103" w:type="dxa"/>
                  <w:tcMar>
                    <w:top w:w="0" w:type="dxa"/>
                    <w:left w:w="0" w:type="dxa"/>
                    <w:bottom w:w="0" w:type="dxa"/>
                    <w:right w:w="0" w:type="dxa"/>
                  </w:tcMar>
                  <w:vAlign w:val="center"/>
                </w:tcPr>
                <w:p w14:paraId="79A1293E">
                  <w:pPr>
                    <w:pStyle w:val="24"/>
                    <w:ind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甲苯</w:t>
                  </w:r>
                </w:p>
              </w:tc>
              <w:tc>
                <w:tcPr>
                  <w:tcW w:w="963" w:type="dxa"/>
                  <w:tcMar>
                    <w:top w:w="0" w:type="dxa"/>
                    <w:left w:w="0" w:type="dxa"/>
                    <w:bottom w:w="0" w:type="dxa"/>
                    <w:right w:w="0" w:type="dxa"/>
                  </w:tcMar>
                  <w:vAlign w:val="center"/>
                </w:tcPr>
                <w:p w14:paraId="25FF585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1041" w:type="dxa"/>
                  <w:tcMar>
                    <w:top w:w="0" w:type="dxa"/>
                    <w:left w:w="0" w:type="dxa"/>
                    <w:bottom w:w="0" w:type="dxa"/>
                    <w:right w:w="0" w:type="dxa"/>
                  </w:tcMar>
                  <w:vAlign w:val="center"/>
                </w:tcPr>
                <w:p w14:paraId="774746E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0.1702</w:t>
                  </w:r>
                </w:p>
              </w:tc>
              <w:tc>
                <w:tcPr>
                  <w:tcW w:w="886" w:type="dxa"/>
                  <w:tcMar>
                    <w:top w:w="0" w:type="dxa"/>
                    <w:left w:w="0" w:type="dxa"/>
                    <w:bottom w:w="0" w:type="dxa"/>
                    <w:right w:w="0" w:type="dxa"/>
                  </w:tcMar>
                  <w:vAlign w:val="center"/>
                </w:tcPr>
                <w:p w14:paraId="67C032D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11.35</w:t>
                  </w:r>
                </w:p>
              </w:tc>
              <w:tc>
                <w:tcPr>
                  <w:tcW w:w="719" w:type="dxa"/>
                  <w:tcMar>
                    <w:top w:w="0" w:type="dxa"/>
                    <w:left w:w="0" w:type="dxa"/>
                    <w:bottom w:w="0" w:type="dxa"/>
                    <w:right w:w="0" w:type="dxa"/>
                  </w:tcMar>
                  <w:vAlign w:val="center"/>
                </w:tcPr>
                <w:p w14:paraId="655F96D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5" w:type="dxa"/>
                  <w:tcMar>
                    <w:top w:w="0" w:type="dxa"/>
                    <w:left w:w="0" w:type="dxa"/>
                    <w:bottom w:w="0" w:type="dxa"/>
                    <w:right w:w="0" w:type="dxa"/>
                  </w:tcMar>
                  <w:vAlign w:val="center"/>
                </w:tcPr>
                <w:p w14:paraId="0BDBD4D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24" w:type="dxa"/>
                  <w:vMerge w:val="continue"/>
                  <w:tcMar>
                    <w:top w:w="0" w:type="dxa"/>
                    <w:left w:w="0" w:type="dxa"/>
                    <w:bottom w:w="0" w:type="dxa"/>
                    <w:right w:w="0" w:type="dxa"/>
                  </w:tcMar>
                  <w:vAlign w:val="center"/>
                </w:tcPr>
                <w:p w14:paraId="12FE4873">
                  <w:pPr>
                    <w:pStyle w:val="24"/>
                    <w:rPr>
                      <w:rFonts w:hint="default" w:ascii="Times New Roman" w:hAnsi="Times New Roman" w:cs="Times New Roman"/>
                      <w:sz w:val="18"/>
                      <w:szCs w:val="18"/>
                    </w:rPr>
                  </w:pPr>
                </w:p>
              </w:tc>
            </w:tr>
            <w:tr w14:paraId="2B24F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709" w:type="dxa"/>
                  <w:vMerge w:val="continue"/>
                  <w:tcMar>
                    <w:top w:w="0" w:type="dxa"/>
                    <w:left w:w="0" w:type="dxa"/>
                    <w:bottom w:w="0" w:type="dxa"/>
                    <w:right w:w="0" w:type="dxa"/>
                  </w:tcMar>
                  <w:vAlign w:val="center"/>
                </w:tcPr>
                <w:p w14:paraId="205653E3">
                  <w:pPr>
                    <w:pStyle w:val="24"/>
                    <w:rPr>
                      <w:rFonts w:hint="default" w:ascii="Times New Roman" w:hAnsi="Times New Roman" w:cs="Times New Roman"/>
                      <w:sz w:val="18"/>
                      <w:szCs w:val="18"/>
                      <w:lang w:val="en-US" w:eastAsia="zh-CN"/>
                    </w:rPr>
                  </w:pPr>
                </w:p>
              </w:tc>
              <w:tc>
                <w:tcPr>
                  <w:tcW w:w="814" w:type="dxa"/>
                  <w:vMerge w:val="continue"/>
                  <w:tcMar>
                    <w:top w:w="0" w:type="dxa"/>
                    <w:left w:w="0" w:type="dxa"/>
                    <w:bottom w:w="0" w:type="dxa"/>
                    <w:right w:w="0" w:type="dxa"/>
                  </w:tcMar>
                  <w:vAlign w:val="center"/>
                </w:tcPr>
                <w:p w14:paraId="12BAEB57">
                  <w:pPr>
                    <w:pStyle w:val="24"/>
                    <w:rPr>
                      <w:rFonts w:hint="default" w:ascii="Times New Roman" w:hAnsi="Times New Roman" w:cs="Times New Roman"/>
                      <w:sz w:val="18"/>
                      <w:szCs w:val="18"/>
                    </w:rPr>
                  </w:pPr>
                </w:p>
              </w:tc>
              <w:tc>
                <w:tcPr>
                  <w:tcW w:w="1103" w:type="dxa"/>
                  <w:tcMar>
                    <w:top w:w="0" w:type="dxa"/>
                    <w:left w:w="0" w:type="dxa"/>
                    <w:bottom w:w="0" w:type="dxa"/>
                    <w:right w:w="0" w:type="dxa"/>
                  </w:tcMar>
                  <w:vAlign w:val="center"/>
                </w:tcPr>
                <w:p w14:paraId="512E533F">
                  <w:pPr>
                    <w:pStyle w:val="24"/>
                    <w:ind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二甲苯</w:t>
                  </w:r>
                </w:p>
              </w:tc>
              <w:tc>
                <w:tcPr>
                  <w:tcW w:w="963" w:type="dxa"/>
                  <w:tcMar>
                    <w:top w:w="0" w:type="dxa"/>
                    <w:left w:w="0" w:type="dxa"/>
                    <w:bottom w:w="0" w:type="dxa"/>
                    <w:right w:w="0" w:type="dxa"/>
                  </w:tcMar>
                  <w:vAlign w:val="center"/>
                </w:tcPr>
                <w:p w14:paraId="6F8B70B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0.43</w:t>
                  </w:r>
                </w:p>
              </w:tc>
              <w:tc>
                <w:tcPr>
                  <w:tcW w:w="1041" w:type="dxa"/>
                  <w:tcMar>
                    <w:top w:w="0" w:type="dxa"/>
                    <w:left w:w="0" w:type="dxa"/>
                    <w:bottom w:w="0" w:type="dxa"/>
                    <w:right w:w="0" w:type="dxa"/>
                  </w:tcMar>
                  <w:vAlign w:val="center"/>
                </w:tcPr>
                <w:p w14:paraId="5583446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0.1702</w:t>
                  </w:r>
                </w:p>
              </w:tc>
              <w:tc>
                <w:tcPr>
                  <w:tcW w:w="886" w:type="dxa"/>
                  <w:tcMar>
                    <w:top w:w="0" w:type="dxa"/>
                    <w:left w:w="0" w:type="dxa"/>
                    <w:bottom w:w="0" w:type="dxa"/>
                    <w:right w:w="0" w:type="dxa"/>
                  </w:tcMar>
                  <w:vAlign w:val="center"/>
                </w:tcPr>
                <w:p w14:paraId="0707FA8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11.35</w:t>
                  </w:r>
                </w:p>
              </w:tc>
              <w:tc>
                <w:tcPr>
                  <w:tcW w:w="719" w:type="dxa"/>
                  <w:tcMar>
                    <w:top w:w="0" w:type="dxa"/>
                    <w:left w:w="0" w:type="dxa"/>
                    <w:bottom w:w="0" w:type="dxa"/>
                    <w:right w:w="0" w:type="dxa"/>
                  </w:tcMar>
                  <w:vAlign w:val="center"/>
                </w:tcPr>
                <w:p w14:paraId="06F1093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5" w:type="dxa"/>
                  <w:tcMar>
                    <w:top w:w="0" w:type="dxa"/>
                    <w:left w:w="0" w:type="dxa"/>
                    <w:bottom w:w="0" w:type="dxa"/>
                    <w:right w:w="0" w:type="dxa"/>
                  </w:tcMar>
                  <w:vAlign w:val="center"/>
                </w:tcPr>
                <w:p w14:paraId="0FB2EEB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24" w:type="dxa"/>
                  <w:vMerge w:val="continue"/>
                  <w:tcMar>
                    <w:top w:w="0" w:type="dxa"/>
                    <w:left w:w="0" w:type="dxa"/>
                    <w:bottom w:w="0" w:type="dxa"/>
                    <w:right w:w="0" w:type="dxa"/>
                  </w:tcMar>
                  <w:vAlign w:val="center"/>
                </w:tcPr>
                <w:p w14:paraId="23BF3BD1">
                  <w:pPr>
                    <w:pStyle w:val="24"/>
                    <w:rPr>
                      <w:rFonts w:hint="default" w:ascii="Times New Roman" w:hAnsi="Times New Roman" w:cs="Times New Roman"/>
                      <w:sz w:val="18"/>
                      <w:szCs w:val="18"/>
                    </w:rPr>
                  </w:pPr>
                </w:p>
              </w:tc>
            </w:tr>
            <w:tr w14:paraId="0A662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9" w:type="dxa"/>
                  <w:vMerge w:val="continue"/>
                  <w:tcMar>
                    <w:top w:w="0" w:type="dxa"/>
                    <w:left w:w="0" w:type="dxa"/>
                    <w:bottom w:w="0" w:type="dxa"/>
                    <w:right w:w="0" w:type="dxa"/>
                  </w:tcMar>
                  <w:vAlign w:val="center"/>
                </w:tcPr>
                <w:p w14:paraId="7F66FCE9">
                  <w:pPr>
                    <w:pStyle w:val="24"/>
                    <w:rPr>
                      <w:rFonts w:hint="default" w:ascii="Times New Roman" w:hAnsi="Times New Roman" w:cs="Times New Roman"/>
                      <w:sz w:val="18"/>
                      <w:szCs w:val="18"/>
                      <w:lang w:val="en-US" w:eastAsia="zh-CN"/>
                    </w:rPr>
                  </w:pPr>
                </w:p>
              </w:tc>
              <w:tc>
                <w:tcPr>
                  <w:tcW w:w="814" w:type="dxa"/>
                  <w:vMerge w:val="continue"/>
                  <w:tcMar>
                    <w:top w:w="0" w:type="dxa"/>
                    <w:left w:w="0" w:type="dxa"/>
                    <w:bottom w:w="0" w:type="dxa"/>
                    <w:right w:w="0" w:type="dxa"/>
                  </w:tcMar>
                  <w:vAlign w:val="center"/>
                </w:tcPr>
                <w:p w14:paraId="3967078A">
                  <w:pPr>
                    <w:pStyle w:val="24"/>
                    <w:rPr>
                      <w:rFonts w:hint="default" w:ascii="Times New Roman" w:hAnsi="Times New Roman" w:cs="Times New Roman"/>
                      <w:sz w:val="18"/>
                      <w:szCs w:val="18"/>
                    </w:rPr>
                  </w:pPr>
                </w:p>
              </w:tc>
              <w:tc>
                <w:tcPr>
                  <w:tcW w:w="1103" w:type="dxa"/>
                  <w:tcMar>
                    <w:top w:w="0" w:type="dxa"/>
                    <w:left w:w="0" w:type="dxa"/>
                    <w:bottom w:w="0" w:type="dxa"/>
                    <w:right w:w="0" w:type="dxa"/>
                  </w:tcMar>
                  <w:vAlign w:val="center"/>
                </w:tcPr>
                <w:p w14:paraId="5D4DEC20">
                  <w:pPr>
                    <w:pStyle w:val="24"/>
                    <w:ind w:firstLine="0" w:firstLineChars="0"/>
                    <w:jc w:val="center"/>
                    <w:rPr>
                      <w:rFonts w:hint="default" w:ascii="Times New Roman" w:hAnsi="Times New Roman" w:cs="Times New Roman"/>
                      <w:sz w:val="18"/>
                      <w:szCs w:val="18"/>
                      <w:lang w:val="en-US" w:eastAsia="zh-CN"/>
                    </w:rPr>
                  </w:pPr>
                  <w:r>
                    <w:rPr>
                      <w:rFonts w:hint="default" w:ascii="Times New Roman" w:hAnsi="Times New Roman" w:eastAsia="宋体" w:cs="Times New Roman"/>
                      <w:sz w:val="18"/>
                      <w:szCs w:val="18"/>
                    </w:rPr>
                    <w:t>乙酸乙酯和乙酸丁酯合计</w:t>
                  </w:r>
                </w:p>
              </w:tc>
              <w:tc>
                <w:tcPr>
                  <w:tcW w:w="963" w:type="dxa"/>
                  <w:tcMar>
                    <w:top w:w="0" w:type="dxa"/>
                    <w:left w:w="0" w:type="dxa"/>
                    <w:bottom w:w="0" w:type="dxa"/>
                    <w:right w:w="0" w:type="dxa"/>
                  </w:tcMar>
                  <w:vAlign w:val="center"/>
                </w:tcPr>
                <w:p w14:paraId="34CC299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1041" w:type="dxa"/>
                  <w:tcMar>
                    <w:top w:w="0" w:type="dxa"/>
                    <w:left w:w="0" w:type="dxa"/>
                    <w:bottom w:w="0" w:type="dxa"/>
                    <w:right w:w="0" w:type="dxa"/>
                  </w:tcMar>
                  <w:vAlign w:val="center"/>
                </w:tcPr>
                <w:p w14:paraId="6D794B6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1.0509</w:t>
                  </w:r>
                </w:p>
              </w:tc>
              <w:tc>
                <w:tcPr>
                  <w:tcW w:w="886" w:type="dxa"/>
                  <w:tcMar>
                    <w:top w:w="0" w:type="dxa"/>
                    <w:left w:w="0" w:type="dxa"/>
                    <w:bottom w:w="0" w:type="dxa"/>
                    <w:right w:w="0" w:type="dxa"/>
                  </w:tcMar>
                  <w:vAlign w:val="center"/>
                </w:tcPr>
                <w:p w14:paraId="1F35CD1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70.06</w:t>
                  </w:r>
                </w:p>
              </w:tc>
              <w:tc>
                <w:tcPr>
                  <w:tcW w:w="719" w:type="dxa"/>
                  <w:tcMar>
                    <w:top w:w="0" w:type="dxa"/>
                    <w:left w:w="0" w:type="dxa"/>
                    <w:bottom w:w="0" w:type="dxa"/>
                    <w:right w:w="0" w:type="dxa"/>
                  </w:tcMar>
                  <w:vAlign w:val="center"/>
                </w:tcPr>
                <w:p w14:paraId="1A6EB31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55" w:type="dxa"/>
                  <w:tcMar>
                    <w:top w:w="0" w:type="dxa"/>
                    <w:left w:w="0" w:type="dxa"/>
                    <w:bottom w:w="0" w:type="dxa"/>
                    <w:right w:w="0" w:type="dxa"/>
                  </w:tcMar>
                  <w:vAlign w:val="center"/>
                </w:tcPr>
                <w:p w14:paraId="2CC96F1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24" w:type="dxa"/>
                  <w:vMerge w:val="continue"/>
                  <w:tcMar>
                    <w:top w:w="0" w:type="dxa"/>
                    <w:left w:w="0" w:type="dxa"/>
                    <w:bottom w:w="0" w:type="dxa"/>
                    <w:right w:w="0" w:type="dxa"/>
                  </w:tcMar>
                  <w:vAlign w:val="center"/>
                </w:tcPr>
                <w:p w14:paraId="4D613780">
                  <w:pPr>
                    <w:pStyle w:val="24"/>
                    <w:rPr>
                      <w:rFonts w:hint="default" w:ascii="Times New Roman" w:hAnsi="Times New Roman" w:cs="Times New Roman"/>
                      <w:sz w:val="18"/>
                      <w:szCs w:val="18"/>
                    </w:rPr>
                  </w:pPr>
                </w:p>
              </w:tc>
            </w:tr>
          </w:tbl>
          <w:p w14:paraId="3C434F2D">
            <w:pPr>
              <w:pStyle w:val="6"/>
              <w:spacing w:line="360" w:lineRule="auto"/>
              <w:rPr>
                <w:rFonts w:hint="default" w:ascii="Times New Roman" w:hAnsi="Times New Roman" w:eastAsia="宋体" w:cs="Times New Roman"/>
                <w:color w:val="auto"/>
                <w:sz w:val="21"/>
                <w:szCs w:val="21"/>
                <w:lang w:eastAsia="zh-CN"/>
              </w:rPr>
            </w:pPr>
            <w:r>
              <w:rPr>
                <w:rFonts w:hint="eastAsia"/>
                <w:lang w:val="en-US" w:eastAsia="zh-CN"/>
              </w:rPr>
              <w:t>由上表可知，在污染源非正常排放情况下</w:t>
            </w:r>
            <w:r>
              <w:rPr>
                <w:rFonts w:hint="eastAsia" w:cs="Times New Roman"/>
                <w:color w:val="auto"/>
                <w:sz w:val="21"/>
                <w:szCs w:val="21"/>
                <w:lang w:val="en-US" w:eastAsia="zh-CN"/>
              </w:rPr>
              <w:t>各污染物浓度较高，未经处理直接排放可能会对</w:t>
            </w:r>
            <w:r>
              <w:rPr>
                <w:rFonts w:hint="default" w:ascii="Times New Roman" w:hAnsi="Times New Roman" w:eastAsia="宋体" w:cs="Times New Roman"/>
                <w:color w:val="auto"/>
                <w:sz w:val="21"/>
                <w:szCs w:val="21"/>
                <w:lang w:eastAsia="zh-CN"/>
              </w:rPr>
              <w:t>区域环境空气产生</w:t>
            </w:r>
            <w:r>
              <w:rPr>
                <w:rFonts w:hint="eastAsia" w:cs="Times New Roman"/>
                <w:color w:val="auto"/>
                <w:sz w:val="21"/>
                <w:szCs w:val="21"/>
                <w:lang w:val="en-US" w:eastAsia="zh-CN"/>
              </w:rPr>
              <w:t>较大</w:t>
            </w:r>
            <w:r>
              <w:rPr>
                <w:rFonts w:hint="default" w:ascii="Times New Roman" w:hAnsi="Times New Roman" w:eastAsia="宋体" w:cs="Times New Roman"/>
                <w:color w:val="auto"/>
                <w:sz w:val="21"/>
                <w:szCs w:val="21"/>
                <w:lang w:eastAsia="zh-CN"/>
              </w:rPr>
              <w:t>影响。评价要求建设单位采取严格的管理措施和应急措施，当发生此种情况时，</w:t>
            </w:r>
            <w:r>
              <w:rPr>
                <w:rFonts w:hint="eastAsia" w:cs="Times New Roman"/>
                <w:color w:val="auto"/>
                <w:sz w:val="21"/>
                <w:szCs w:val="21"/>
                <w:lang w:val="en-US" w:eastAsia="zh-CN"/>
              </w:rPr>
              <w:t>应</w:t>
            </w:r>
            <w:r>
              <w:rPr>
                <w:rFonts w:hint="default" w:ascii="Times New Roman" w:hAnsi="Times New Roman" w:eastAsia="宋体" w:cs="Times New Roman"/>
                <w:color w:val="auto"/>
                <w:sz w:val="21"/>
                <w:szCs w:val="21"/>
                <w:lang w:eastAsia="zh-CN"/>
              </w:rPr>
              <w:t>停止相关工序的生产，待故障解除后方可恢复生产。</w:t>
            </w:r>
          </w:p>
          <w:p w14:paraId="74CE2743">
            <w:pPr>
              <w:pStyle w:val="6"/>
              <w:spacing w:line="360" w:lineRule="auto"/>
              <w:rPr>
                <w:rFonts w:hint="default" w:ascii="Times New Roman" w:hAnsi="Times New Roman" w:eastAsia="宋体" w:cs="Times New Roman"/>
                <w:b/>
                <w:bCs/>
                <w:color w:val="auto"/>
                <w:sz w:val="21"/>
                <w:szCs w:val="21"/>
                <w:lang w:eastAsia="zh-CN"/>
              </w:rPr>
            </w:pPr>
            <w:r>
              <w:rPr>
                <w:rFonts w:hint="eastAsia"/>
                <w:b/>
                <w:bCs/>
                <w:lang w:val="en-US" w:eastAsia="zh-CN"/>
              </w:rPr>
              <w:t>（3）废气影响分析</w:t>
            </w:r>
          </w:p>
          <w:p w14:paraId="389B0A67">
            <w:pPr>
              <w:pStyle w:val="6"/>
              <w:spacing w:line="360" w:lineRule="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lang w:val="en-US" w:eastAsia="zh-CN"/>
              </w:rPr>
              <w:t>①</w:t>
            </w:r>
            <w:r>
              <w:rPr>
                <w:rFonts w:hint="eastAsia" w:ascii="Times New Roman" w:hAnsi="Times New Roman" w:cs="Times New Roman"/>
                <w:b/>
                <w:bCs/>
                <w:lang w:val="en-US" w:eastAsia="zh-CN"/>
              </w:rPr>
              <w:t>废气达标可行性分析</w:t>
            </w:r>
          </w:p>
          <w:p w14:paraId="0725BC13">
            <w:pPr>
              <w:spacing w:line="360" w:lineRule="auto"/>
              <w:jc w:val="both"/>
              <w:rPr>
                <w:rFonts w:hint="eastAsia"/>
                <w:color w:val="auto"/>
                <w:kern w:val="0"/>
                <w:szCs w:val="21"/>
                <w:lang w:val="en-US" w:eastAsia="zh-CN"/>
              </w:rPr>
            </w:pPr>
            <w:r>
              <w:rPr>
                <w:rFonts w:hint="eastAsia"/>
                <w:lang w:val="en-US" w:eastAsia="zh-CN"/>
              </w:rPr>
              <w:t>由上述源强核算可知，项目废气排放估算结果，其中颗粒物排放满足《大气污染物综合排放标准》(GB16297-1996)表 2 二级标准；有机废气非甲烷总烃、甲苯、二甲苯、乙酸乙酯和乙酸丁酯合计排放满足《工业涂装工序挥发性有机物排放标准》(DB35/1783-2018)中表 1 家具制造限值要求。</w:t>
            </w:r>
          </w:p>
          <w:p w14:paraId="632B728A">
            <w:pPr>
              <w:spacing w:line="360" w:lineRule="auto"/>
              <w:jc w:val="both"/>
              <w:rPr>
                <w:rFonts w:hint="eastAsia"/>
                <w:b/>
                <w:bCs/>
                <w:color w:val="auto"/>
                <w:kern w:val="0"/>
                <w:szCs w:val="21"/>
                <w:lang w:val="en-US" w:eastAsia="zh-CN"/>
              </w:rPr>
            </w:pPr>
            <w:r>
              <w:rPr>
                <w:rFonts w:hint="default" w:ascii="Times New Roman" w:hAnsi="Times New Roman" w:eastAsia="宋体" w:cs="Times New Roman"/>
                <w:b/>
                <w:bCs/>
                <w:lang w:val="en-US" w:eastAsia="zh-CN"/>
              </w:rPr>
              <w:t>②大气污染防治设施工作原理</w:t>
            </w:r>
          </w:p>
          <w:p w14:paraId="1D2667F6">
            <w:pPr>
              <w:spacing w:line="360" w:lineRule="auto"/>
              <w:ind w:firstLine="422" w:firstLineChars="200"/>
              <w:rPr>
                <w:rFonts w:hint="default" w:ascii="Times New Roman" w:hAnsi="Times New Roman" w:cs="Times New Roman"/>
                <w:b/>
                <w:bCs w:val="0"/>
                <w:color w:val="auto"/>
                <w:szCs w:val="21"/>
                <w:lang w:eastAsia="zh-CN"/>
              </w:rPr>
            </w:pPr>
            <w:r>
              <w:rPr>
                <w:rFonts w:hint="eastAsia" w:cs="Times New Roman"/>
                <w:b/>
                <w:bCs w:val="0"/>
                <w:color w:val="auto"/>
                <w:szCs w:val="21"/>
                <w:lang w:val="en-US" w:eastAsia="zh-CN"/>
              </w:rPr>
              <w:t>活性炭吸附</w:t>
            </w:r>
            <w:r>
              <w:rPr>
                <w:rFonts w:hint="default" w:ascii="Times New Roman" w:hAnsi="Times New Roman" w:cs="Times New Roman"/>
                <w:b/>
                <w:bCs w:val="0"/>
                <w:color w:val="auto"/>
                <w:szCs w:val="21"/>
                <w:lang w:eastAsia="zh-CN"/>
              </w:rPr>
              <w:t>原理：</w:t>
            </w:r>
          </w:p>
          <w:p w14:paraId="47FF213E">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活性炭是一种很细小的炭粒有很大的表面积，而且炭粒中还有更细小的孔——毛细管。这种毛细管具有很强的吸附能力，由于炭粒的表面积很大，所以能与气体（杂质）充分接触。当这些气体（杂质）碰到毛细管被吸附，起净化作用。活性炭对有机废气具有良好的吸附效果，如果更换得当，可使得有机废气处理能力达到 80%以上。</w:t>
            </w:r>
          </w:p>
          <w:p w14:paraId="5F9A3354">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活性炭吸附法具体以下优点：</w:t>
            </w:r>
          </w:p>
          <w:p w14:paraId="2369F852">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A 适合低温、低浓度、大风量或间歇作业产生的有机废气的治理，工艺成熟；</w:t>
            </w:r>
          </w:p>
          <w:p w14:paraId="4E0332BF">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B 活性炭吸附剂廉价易得，且吸附量较大；</w:t>
            </w:r>
          </w:p>
          <w:p w14:paraId="6AAF2673">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C 吸附质浓度越高，吸附量也越高；</w:t>
            </w:r>
          </w:p>
          <w:p w14:paraId="513E5693">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D 吸附剂内表面积越大，吸附量越高，细孔活性炭特别适用于吸附低浓度挥发性蒸汽；</w:t>
            </w:r>
          </w:p>
          <w:p w14:paraId="3DDF7989">
            <w:pPr>
              <w:spacing w:line="360" w:lineRule="auto"/>
              <w:ind w:firstLine="420" w:firstLineChars="200"/>
              <w:rPr>
                <w:rFonts w:hint="default" w:ascii="Times New Roman" w:hAnsi="Times New Roman" w:cs="Times New Roman"/>
                <w:bCs/>
                <w:color w:val="auto"/>
                <w:szCs w:val="21"/>
                <w:lang w:eastAsia="zh-CN"/>
              </w:rPr>
            </w:pPr>
            <w:r>
              <w:rPr>
                <w:rFonts w:hint="default" w:ascii="Times New Roman" w:hAnsi="Times New Roman" w:cs="Times New Roman"/>
                <w:bCs/>
                <w:color w:val="auto"/>
                <w:szCs w:val="21"/>
                <w:lang w:eastAsia="zh-CN"/>
              </w:rPr>
              <w:t>E 活性炭吸附法采用的设备一般为固定活性炭吸附床，相对催化燃烧设备而言，费用较低。</w:t>
            </w:r>
          </w:p>
          <w:p w14:paraId="438F0AE9">
            <w:pPr>
              <w:rPr>
                <w:rFonts w:hint="eastAsia"/>
                <w:b/>
                <w:bCs/>
                <w:color w:val="000000"/>
                <w:lang w:val="en-US" w:eastAsia="zh-CN"/>
              </w:rPr>
            </w:pPr>
            <w:r>
              <w:rPr>
                <w:rFonts w:hint="eastAsia"/>
                <w:b/>
                <w:bCs/>
                <w:color w:val="000000"/>
                <w:lang w:val="en-US" w:eastAsia="zh-CN"/>
              </w:rPr>
              <w:t>布袋除尘器工作原理：</w:t>
            </w:r>
          </w:p>
          <w:p w14:paraId="5ACC367B">
            <w:pPr>
              <w:spacing w:line="360" w:lineRule="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布袋除尘器是一种干式高效除尘器，它是利用纤维编织物制作的袋式过滤元件来捕集含尘气体中固体颗粒物的除尘装置。布袋除尘器组成包括进风系统、除尘器主体、接灰装置、出风系统和反吹系统。布袋除尘器工作原理是尘粒在绕过滤布纤维时因惯性力作用与纤维碰撞而被拦截，捕尘后的滤袋经清灰后可重复利用。袋式除尘器净化效率高，对含微米或亚微米数量级的粉尘效率可达9</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%，且使用范围广，运行稳定可靠，操作维护简单</w:t>
            </w:r>
            <w:r>
              <w:rPr>
                <w:rFonts w:hint="eastAsia" w:cs="Times New Roman"/>
                <w:color w:val="auto"/>
                <w:sz w:val="21"/>
                <w:szCs w:val="21"/>
                <w:highlight w:val="none"/>
                <w:lang w:eastAsia="zh-CN"/>
              </w:rPr>
              <w:t>。</w:t>
            </w:r>
          </w:p>
          <w:p w14:paraId="0F13A68B">
            <w:pPr>
              <w:spacing w:line="360" w:lineRule="auto"/>
              <w:rPr>
                <w:rFonts w:hint="eastAsia" w:cs="Times New Roman"/>
                <w:b/>
                <w:bCs/>
                <w:color w:val="auto"/>
                <w:sz w:val="21"/>
                <w:szCs w:val="21"/>
                <w:highlight w:val="none"/>
                <w:lang w:eastAsia="zh-CN"/>
              </w:rPr>
            </w:pPr>
            <w:r>
              <w:rPr>
                <w:rFonts w:hint="eastAsia" w:cs="Times New Roman"/>
                <w:b/>
                <w:bCs/>
                <w:color w:val="auto"/>
                <w:sz w:val="21"/>
                <w:szCs w:val="21"/>
                <w:highlight w:val="none"/>
                <w:lang w:eastAsia="zh-CN"/>
              </w:rPr>
              <w:t>喷淋塔工作原理：</w:t>
            </w:r>
          </w:p>
          <w:p w14:paraId="5ED262B1">
            <w:pPr>
              <w:spacing w:line="360" w:lineRule="auto"/>
              <w:rPr>
                <w:rFonts w:hint="eastAsia" w:cs="Times New Roman"/>
                <w:color w:val="auto"/>
                <w:sz w:val="21"/>
                <w:szCs w:val="21"/>
                <w:highlight w:val="none"/>
                <w:lang w:eastAsia="zh-CN"/>
              </w:rPr>
            </w:pPr>
            <w:r>
              <w:rPr>
                <w:rFonts w:hint="eastAsia" w:cs="Times New Roman"/>
                <w:color w:val="auto"/>
                <w:sz w:val="21"/>
                <w:szCs w:val="21"/>
                <w:highlight w:val="none"/>
                <w:lang w:eastAsia="zh-CN"/>
              </w:rPr>
              <w:t>喷淋塔由塔体、填料、液体分布器、气水分离器、喷淋系统、循环水泵、循环水池、药液储存投加系统等单元组成。</w:t>
            </w:r>
          </w:p>
          <w:p w14:paraId="77D2E7C6">
            <w:pPr>
              <w:spacing w:line="360" w:lineRule="auto"/>
              <w:rPr>
                <w:rFonts w:hint="eastAsia" w:cs="Times New Roman"/>
                <w:color w:val="auto"/>
                <w:sz w:val="21"/>
                <w:szCs w:val="21"/>
                <w:highlight w:val="none"/>
                <w:lang w:eastAsia="zh-CN"/>
              </w:rPr>
            </w:pPr>
            <w:r>
              <w:rPr>
                <w:rFonts w:hint="eastAsia" w:cs="Times New Roman"/>
                <w:color w:val="auto"/>
                <w:sz w:val="21"/>
                <w:szCs w:val="21"/>
                <w:highlight w:val="none"/>
                <w:lang w:eastAsia="zh-CN"/>
              </w:rPr>
              <w:t>喷淋塔塔内填料层作为气液两相间接触构件的传质设备。填料塔底部装有填料支承板，填料以乱堆方式放置在支承板上。填料的上方安装填料压板，以防被上升气流吹动。喷淋液从塔顶经液体分布器喷淋到填料上，并沿填料表面流下。气体从塔底送入，经气体分布装置分布后，与液体呈逆流连续通过填料层的空隙，在填料表面上，气液两相密切接触进行传质。当液体沿填料层向下流动时，有时会出现壁流现象，壁流效应造成气液两相在填料层中分布不均，从而使传质效率下降。因此，喷淋塔内的填料层分为两段，中间设置再分布装置，经重新分布后喷淋到下层填料上。</w:t>
            </w:r>
          </w:p>
          <w:p w14:paraId="2161E77E">
            <w:pPr>
              <w:spacing w:line="360" w:lineRule="auto"/>
              <w:rPr>
                <w:rFonts w:hint="eastAsia" w:cs="Times New Roman"/>
                <w:color w:val="auto"/>
                <w:sz w:val="21"/>
                <w:szCs w:val="21"/>
                <w:highlight w:val="none"/>
                <w:lang w:eastAsia="zh-CN"/>
              </w:rPr>
            </w:pPr>
            <w:r>
              <w:rPr>
                <w:rFonts w:hint="eastAsia" w:cs="Times New Roman"/>
                <w:color w:val="auto"/>
                <w:sz w:val="21"/>
                <w:szCs w:val="21"/>
                <w:highlight w:val="none"/>
                <w:lang w:eastAsia="zh-CN"/>
              </w:rPr>
              <w:t>为了避免气体携走喷淋液，在塔顶部气水分离器，有效截留喷淋液。喷淋液循环使用，在使用过程中会有部分损失，位于塔底的循环水箱适时补充喷淋液。</w:t>
            </w:r>
          </w:p>
          <w:p w14:paraId="189E835B">
            <w:pPr>
              <w:pStyle w:val="6"/>
              <w:spacing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lang w:val="en-US" w:eastAsia="zh-CN"/>
              </w:rPr>
              <w:t>③大气环境影响分析结论</w:t>
            </w:r>
          </w:p>
          <w:p w14:paraId="0DB55E5D">
            <w:pPr>
              <w:pStyle w:val="6"/>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根据生态环境主管部门公开发布的质量数据，项目区域环境质量现状均可满足其二类功能区的标准限值。</w:t>
            </w:r>
          </w:p>
          <w:p w14:paraId="4203AADD">
            <w:pPr>
              <w:pStyle w:val="6"/>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工业园区内，评价范围内环境空气质量现状良好，项目周边主要为厂房及道路，正常工况下，项目废气经各环保措施处理后均能达标排放，项目排放的废气等对周边敏感目标的贡献值甚小，不会造成其背景值发生明显变化，因此本项目废气排放对周边环境影响不大。</w:t>
            </w:r>
          </w:p>
          <w:p w14:paraId="247900D0">
            <w:pPr>
              <w:pStyle w:val="6"/>
              <w:spacing w:line="360" w:lineRule="auto"/>
              <w:ind w:left="0" w:leftChars="0" w:firstLine="0" w:firstLineChars="0"/>
              <w:rPr>
                <w:rFonts w:hint="default" w:ascii="Times New Roman" w:hAnsi="Times New Roman" w:eastAsia="宋体" w:cs="Times New Roman"/>
                <w:b/>
                <w:bCs/>
                <w:color w:val="auto"/>
                <w:sz w:val="21"/>
                <w:szCs w:val="21"/>
                <w:lang w:val="en-US" w:eastAsia="zh-CN"/>
              </w:rPr>
            </w:pPr>
            <w:r>
              <w:rPr>
                <w:rFonts w:hint="eastAsia"/>
                <w:b/>
                <w:bCs/>
                <w:lang w:val="en-US" w:eastAsia="zh-CN"/>
              </w:rPr>
              <w:t>2.废水</w:t>
            </w:r>
          </w:p>
          <w:p w14:paraId="6FB7F723">
            <w:pPr>
              <w:pStyle w:val="6"/>
              <w:spacing w:line="360" w:lineRule="auto"/>
              <w:rPr>
                <w:rFonts w:hint="default" w:ascii="Times New Roman" w:hAnsi="Times New Roman" w:eastAsia="宋体" w:cs="Times New Roman"/>
                <w:b/>
                <w:bCs/>
                <w:color w:val="auto"/>
                <w:sz w:val="21"/>
                <w:szCs w:val="21"/>
                <w:lang w:val="en-US" w:eastAsia="zh-CN"/>
              </w:rPr>
            </w:pPr>
            <w:r>
              <w:rPr>
                <w:rFonts w:hint="eastAsia"/>
                <w:b/>
                <w:bCs/>
                <w:color w:val="auto"/>
                <w:lang w:val="en-US" w:eastAsia="zh-CN"/>
              </w:rPr>
              <w:t>（1）废水源强</w:t>
            </w:r>
          </w:p>
          <w:p w14:paraId="3FAFB5F8">
            <w:pPr>
              <w:pStyle w:val="11"/>
              <w:widowControl w:val="0"/>
              <w:numPr>
                <w:ilvl w:val="0"/>
                <w:numId w:val="0"/>
              </w:numPr>
              <w:wordWrap/>
              <w:adjustRightInd/>
              <w:snapToGrid w:val="0"/>
              <w:spacing w:line="360" w:lineRule="auto"/>
              <w:ind w:firstLine="420" w:firstLineChars="200"/>
              <w:jc w:val="both"/>
              <w:textAlignment w:val="auto"/>
              <w:rPr>
                <w:rFonts w:hint="eastAsia"/>
                <w:lang w:val="en-US" w:eastAsia="zh-CN"/>
              </w:rPr>
            </w:pPr>
            <w:r>
              <w:rPr>
                <w:rFonts w:hint="eastAsia"/>
                <w:lang w:val="en-US" w:eastAsia="zh-CN"/>
              </w:rPr>
              <w:t>根据水平衡图可知，项目外排废水主要为生活污水，冷却水循环使用不外排，本项目无生产废水外排。</w:t>
            </w:r>
          </w:p>
          <w:p w14:paraId="67079325">
            <w:pPr>
              <w:pStyle w:val="11"/>
              <w:widowControl w:val="0"/>
              <w:numPr>
                <w:ilvl w:val="0"/>
                <w:numId w:val="0"/>
              </w:numPr>
              <w:wordWrap/>
              <w:adjustRightInd/>
              <w:snapToGrid w:val="0"/>
              <w:spacing w:line="360" w:lineRule="auto"/>
              <w:ind w:firstLine="420" w:firstLineChars="200"/>
              <w:jc w:val="both"/>
              <w:textAlignment w:val="auto"/>
              <w:rPr>
                <w:rFonts w:hint="eastAsia" w:ascii="Times New Roman" w:hAnsi="Times New Roman" w:cs="Times New Roman"/>
                <w:color w:val="auto"/>
                <w:szCs w:val="24"/>
                <w:lang w:eastAsia="zh-CN"/>
              </w:rPr>
            </w:pPr>
            <w:r>
              <w:rPr>
                <w:rFonts w:hint="eastAsia"/>
                <w:lang w:val="en-US" w:eastAsia="zh-CN"/>
              </w:rPr>
              <w:t>项目拟招收</w:t>
            </w:r>
            <w:r>
              <w:rPr>
                <w:rFonts w:hint="eastAsia" w:ascii="Times New Roman" w:hAnsi="Times New Roman" w:cs="Times New Roman"/>
                <w:lang w:val="en-US" w:eastAsia="zh-CN"/>
              </w:rPr>
              <w:t>4</w:t>
            </w:r>
            <w:r>
              <w:rPr>
                <w:rFonts w:hint="default" w:ascii="Times New Roman" w:hAnsi="Times New Roman" w:cs="Times New Roman"/>
                <w:lang w:val="en-US" w:eastAsia="zh-CN"/>
              </w:rPr>
              <w:t>0</w:t>
            </w:r>
            <w:r>
              <w:rPr>
                <w:rFonts w:hint="eastAsia"/>
                <w:lang w:val="en-US" w:eastAsia="zh-CN"/>
              </w:rPr>
              <w:t>名员工，有住宿，无食堂。</w:t>
            </w:r>
            <w:r>
              <w:rPr>
                <w:rFonts w:hint="default" w:ascii="Times New Roman" w:hAnsi="Times New Roman" w:cs="Times New Roman"/>
                <w:bCs/>
                <w:color w:val="auto"/>
                <w:szCs w:val="24"/>
              </w:rPr>
              <w:t>根据</w:t>
            </w:r>
            <w:r>
              <w:rPr>
                <w:rFonts w:hint="default" w:ascii="Times New Roman" w:hAnsi="Times New Roman" w:cs="Times New Roman"/>
                <w:color w:val="auto"/>
                <w:szCs w:val="24"/>
              </w:rPr>
              <w:t>DB35/T 772-2013《福建省行业用水定额》，住宿职工生活用水量取</w:t>
            </w:r>
            <w:r>
              <w:rPr>
                <w:rFonts w:hint="eastAsia" w:ascii="Times New Roman" w:hAnsi="Times New Roman" w:cs="Times New Roman"/>
                <w:color w:val="auto"/>
                <w:szCs w:val="24"/>
                <w:lang w:val="en-US" w:eastAsia="zh-CN"/>
              </w:rPr>
              <w:t>1</w:t>
            </w:r>
            <w:r>
              <w:rPr>
                <w:rFonts w:hint="default" w:ascii="Times New Roman" w:hAnsi="Times New Roman" w:cs="Times New Roman"/>
                <w:color w:val="auto"/>
                <w:szCs w:val="24"/>
              </w:rPr>
              <w:t>50L/(d·人)，则本项目职工用水量为</w:t>
            </w:r>
            <w:r>
              <w:rPr>
                <w:rFonts w:hint="eastAsia" w:ascii="Times New Roman" w:hAnsi="Times New Roman" w:cs="Times New Roman"/>
                <w:color w:val="auto"/>
                <w:szCs w:val="24"/>
                <w:lang w:val="en-US" w:eastAsia="zh-CN"/>
              </w:rPr>
              <w:t>1.0t</w:t>
            </w:r>
            <w:r>
              <w:rPr>
                <w:rFonts w:hint="default" w:ascii="Times New Roman" w:hAnsi="Times New Roman" w:cs="Times New Roman"/>
                <w:color w:val="auto"/>
                <w:szCs w:val="24"/>
              </w:rPr>
              <w:t>/d（</w:t>
            </w:r>
            <w:r>
              <w:rPr>
                <w:rFonts w:hint="eastAsia" w:ascii="Times New Roman" w:hAnsi="Times New Roman" w:cs="Times New Roman"/>
                <w:color w:val="auto"/>
                <w:szCs w:val="24"/>
                <w:lang w:val="en-US" w:eastAsia="zh-CN"/>
              </w:rPr>
              <w:t>300t</w:t>
            </w:r>
            <w:r>
              <w:rPr>
                <w:rFonts w:hint="default" w:ascii="Times New Roman" w:hAnsi="Times New Roman" w:cs="Times New Roman"/>
                <w:color w:val="auto"/>
                <w:szCs w:val="24"/>
              </w:rPr>
              <w:t>/a）。</w:t>
            </w:r>
            <w:r>
              <w:rPr>
                <w:rFonts w:hint="eastAsia" w:ascii="Times New Roman" w:hAnsi="Times New Roman" w:cs="宋体"/>
                <w:color w:val="auto"/>
                <w:kern w:val="2"/>
                <w:sz w:val="21"/>
                <w:szCs w:val="21"/>
                <w:lang w:val="en-US" w:eastAsia="zh-CN" w:bidi="ar-SA"/>
              </w:rPr>
              <w:t>根据《生活污染源产排污系数手册》</w:t>
            </w:r>
            <w:r>
              <w:rPr>
                <w:rFonts w:hint="eastAsia" w:cs="宋体"/>
                <w:color w:val="auto"/>
                <w:kern w:val="2"/>
                <w:sz w:val="21"/>
                <w:szCs w:val="21"/>
                <w:lang w:val="en-US" w:eastAsia="zh-CN" w:bidi="ar-SA"/>
              </w:rPr>
              <w:t>项目职工生活用水量</w:t>
            </w:r>
            <w:r>
              <w:rPr>
                <w:rFonts w:hint="default" w:ascii="Times New Roman" w:hAnsi="Times New Roman" w:cs="Times New Roman"/>
                <w:color w:val="auto"/>
                <w:kern w:val="2"/>
                <w:sz w:val="21"/>
                <w:szCs w:val="21"/>
                <w:lang w:val="en-US" w:eastAsia="zh-CN" w:bidi="ar-SA"/>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50L/d</w:t>
            </w:r>
            <w:r>
              <w:rPr>
                <w:rFonts w:hint="default"/>
                <w:sz w:val="21"/>
                <w:szCs w:val="21"/>
                <w:lang w:eastAsia="zh-CN"/>
              </w:rPr>
              <w:t>·人</w:t>
            </w:r>
            <w:r>
              <w:rPr>
                <w:rFonts w:hint="eastAsia"/>
                <w:sz w:val="21"/>
                <w:szCs w:val="21"/>
                <w:lang w:eastAsia="zh-CN"/>
              </w:rPr>
              <w:t>，</w:t>
            </w:r>
            <w:r>
              <w:rPr>
                <w:rFonts w:hint="eastAsia"/>
                <w:sz w:val="21"/>
                <w:szCs w:val="21"/>
                <w:lang w:val="en-US" w:eastAsia="zh-CN"/>
              </w:rPr>
              <w:t>则</w:t>
            </w:r>
            <w:r>
              <w:rPr>
                <w:rFonts w:hint="default"/>
                <w:lang w:val="en-US" w:eastAsia="zh-CN"/>
              </w:rPr>
              <w:t>生活污水</w:t>
            </w:r>
            <w:r>
              <w:rPr>
                <w:rFonts w:hint="eastAsia"/>
                <w:lang w:val="en-US" w:eastAsia="zh-CN"/>
              </w:rPr>
              <w:t>的折污系数按</w:t>
            </w:r>
            <w:r>
              <w:rPr>
                <w:rFonts w:hint="default" w:ascii="Times New Roman" w:hAnsi="Times New Roman" w:cs="Times New Roman"/>
                <w:lang w:val="en-US" w:eastAsia="zh-CN"/>
              </w:rPr>
              <w:t>0.8</w:t>
            </w:r>
            <w:r>
              <w:rPr>
                <w:rFonts w:hint="eastAsia"/>
                <w:lang w:val="en-US" w:eastAsia="zh-CN"/>
              </w:rPr>
              <w:t>计</w:t>
            </w:r>
            <w:r>
              <w:rPr>
                <w:rFonts w:hint="default" w:ascii="Times New Roman" w:hAnsi="Times New Roman" w:cs="Times New Roman"/>
                <w:color w:val="auto"/>
                <w:szCs w:val="24"/>
              </w:rPr>
              <w:t>，则污水排放量为</w:t>
            </w:r>
            <w:r>
              <w:rPr>
                <w:rFonts w:hint="eastAsia" w:ascii="Times New Roman" w:hAnsi="Times New Roman" w:cs="Times New Roman"/>
                <w:color w:val="auto"/>
                <w:szCs w:val="24"/>
                <w:lang w:val="en-US" w:eastAsia="zh-CN"/>
              </w:rPr>
              <w:t>4.8t</w:t>
            </w:r>
            <w:r>
              <w:rPr>
                <w:rFonts w:hint="default" w:ascii="Times New Roman" w:hAnsi="Times New Roman" w:cs="Times New Roman"/>
                <w:color w:val="auto"/>
                <w:szCs w:val="24"/>
              </w:rPr>
              <w:t>/d（</w:t>
            </w:r>
            <w:r>
              <w:rPr>
                <w:rFonts w:hint="eastAsia" w:ascii="Times New Roman" w:hAnsi="Times New Roman" w:cs="Times New Roman"/>
                <w:color w:val="auto"/>
                <w:szCs w:val="24"/>
                <w:lang w:val="en-US" w:eastAsia="zh-CN"/>
              </w:rPr>
              <w:t>1440t</w:t>
            </w:r>
            <w:r>
              <w:rPr>
                <w:rFonts w:hint="default" w:ascii="Times New Roman" w:hAnsi="Times New Roman" w:cs="Times New Roman"/>
                <w:color w:val="auto"/>
                <w:szCs w:val="24"/>
              </w:rPr>
              <w:t>/a）</w:t>
            </w:r>
            <w:r>
              <w:rPr>
                <w:rFonts w:hint="eastAsia" w:ascii="Times New Roman" w:hAnsi="Times New Roman" w:cs="Times New Roman"/>
                <w:color w:val="auto"/>
                <w:szCs w:val="24"/>
                <w:lang w:eastAsia="zh-CN"/>
              </w:rPr>
              <w:t>。</w:t>
            </w:r>
          </w:p>
          <w:p w14:paraId="2FB88D27">
            <w:pPr>
              <w:pStyle w:val="11"/>
              <w:widowControl w:val="0"/>
              <w:numPr>
                <w:ilvl w:val="0"/>
                <w:numId w:val="0"/>
              </w:numPr>
              <w:wordWrap/>
              <w:adjustRightInd/>
              <w:snapToGrid w:val="0"/>
              <w:spacing w:line="360" w:lineRule="auto"/>
              <w:ind w:firstLine="420" w:firstLineChars="200"/>
              <w:jc w:val="both"/>
              <w:textAlignment w:val="auto"/>
              <w:rPr>
                <w:rFonts w:hint="default" w:ascii="Times New Roman" w:hAnsi="Times New Roman" w:cs="Times New Roman"/>
                <w:color w:val="auto"/>
                <w:szCs w:val="24"/>
                <w:lang w:val="en-US" w:eastAsia="zh-CN"/>
              </w:rPr>
            </w:pPr>
            <w:r>
              <w:rPr>
                <w:rFonts w:hint="default" w:ascii="Times New Roman" w:hAnsi="Times New Roman" w:cs="Times New Roman"/>
                <w:lang w:val="en-US" w:eastAsia="zh-CN"/>
              </w:rPr>
              <w:t>参照第</w:t>
            </w:r>
            <w:r>
              <w:rPr>
                <w:rFonts w:hint="eastAsia" w:ascii="Times New Roman" w:hAnsi="Times New Roman" w:cs="Times New Roman"/>
                <w:lang w:val="en-US" w:eastAsia="zh-CN"/>
              </w:rPr>
              <w:t>二</w:t>
            </w:r>
            <w:r>
              <w:rPr>
                <w:rFonts w:hint="default" w:ascii="Times New Roman" w:hAnsi="Times New Roman" w:cs="Times New Roman"/>
                <w:lang w:val="en-US" w:eastAsia="zh-CN"/>
              </w:rPr>
              <w:t>次全国污染源普查城镇生活源产排污系数手册折算，</w:t>
            </w:r>
            <w:r>
              <w:rPr>
                <w:rFonts w:hint="default" w:ascii="Times New Roman" w:hAnsi="Times New Roman" w:cs="Times New Roman"/>
                <w:lang w:val="zh-CN" w:eastAsia="zh-CN"/>
              </w:rPr>
              <w:t>项目生活废水浓度大体为CODCr：4</w:t>
            </w:r>
            <w:r>
              <w:rPr>
                <w:rFonts w:hint="eastAsia" w:ascii="Times New Roman" w:hAnsi="Times New Roman" w:cs="Times New Roman"/>
                <w:lang w:val="en-US" w:eastAsia="zh-CN"/>
              </w:rPr>
              <w:t>85</w:t>
            </w:r>
            <w:r>
              <w:rPr>
                <w:rFonts w:hint="default" w:ascii="Times New Roman" w:hAnsi="Times New Roman" w:cs="Times New Roman"/>
                <w:lang w:val="zh-CN" w:eastAsia="zh-CN"/>
              </w:rPr>
              <w:t>mg/L、BOD</w:t>
            </w:r>
            <w:r>
              <w:rPr>
                <w:rFonts w:hint="default" w:ascii="Times New Roman" w:hAnsi="Times New Roman" w:cs="Times New Roman"/>
                <w:vertAlign w:val="subscript"/>
                <w:lang w:val="zh-CN" w:eastAsia="zh-CN"/>
              </w:rPr>
              <w:t>5</w:t>
            </w:r>
            <w:r>
              <w:rPr>
                <w:rFonts w:hint="default" w:ascii="Times New Roman" w:hAnsi="Times New Roman" w:cs="Times New Roman"/>
                <w:lang w:val="zh-CN" w:eastAsia="zh-CN"/>
              </w:rPr>
              <w:t>：2</w:t>
            </w:r>
            <w:r>
              <w:rPr>
                <w:rFonts w:hint="eastAsia" w:ascii="Times New Roman" w:hAnsi="Times New Roman" w:cs="Times New Roman"/>
                <w:lang w:val="en-US" w:eastAsia="zh-CN"/>
              </w:rPr>
              <w:t>18</w:t>
            </w:r>
            <w:r>
              <w:rPr>
                <w:rFonts w:hint="default" w:ascii="Times New Roman" w:hAnsi="Times New Roman" w:cs="Times New Roman"/>
                <w:lang w:val="zh-CN" w:eastAsia="zh-CN"/>
              </w:rPr>
              <w:t>mg/L、SS：220mg/L、NH</w:t>
            </w:r>
            <w:r>
              <w:rPr>
                <w:rFonts w:hint="default" w:ascii="Times New Roman" w:hAnsi="Times New Roman" w:cs="Times New Roman"/>
                <w:vertAlign w:val="subscript"/>
                <w:lang w:val="zh-CN" w:eastAsia="zh-CN"/>
              </w:rPr>
              <w:t>3</w:t>
            </w:r>
            <w:r>
              <w:rPr>
                <w:rFonts w:hint="default" w:ascii="Times New Roman" w:hAnsi="Times New Roman" w:cs="Times New Roman"/>
                <w:lang w:val="zh-CN" w:eastAsia="zh-CN"/>
              </w:rPr>
              <w:t>-N：</w:t>
            </w:r>
            <w:r>
              <w:rPr>
                <w:rFonts w:hint="eastAsia" w:ascii="Times New Roman" w:hAnsi="Times New Roman" w:cs="Times New Roman"/>
                <w:lang w:val="en-US" w:eastAsia="zh-CN"/>
              </w:rPr>
              <w:t>40</w:t>
            </w:r>
            <w:r>
              <w:rPr>
                <w:rFonts w:hint="default" w:ascii="Times New Roman" w:hAnsi="Times New Roman" w:cs="Times New Roman"/>
                <w:lang w:val="zh-CN" w:eastAsia="zh-CN"/>
              </w:rPr>
              <w:t>mg/L、</w:t>
            </w:r>
            <w:r>
              <w:rPr>
                <w:rFonts w:hint="default" w:ascii="Times New Roman" w:hAnsi="Times New Roman" w:cs="Times New Roman"/>
                <w:lang w:val="en-US" w:eastAsia="zh-CN"/>
              </w:rPr>
              <w:t>TN</w:t>
            </w:r>
            <w:r>
              <w:rPr>
                <w:rFonts w:hint="default" w:ascii="Times New Roman" w:hAnsi="Times New Roman" w:cs="Times New Roman"/>
                <w:lang w:val="zh-CN" w:eastAsia="zh-CN"/>
              </w:rPr>
              <w:t>：</w:t>
            </w:r>
            <w:r>
              <w:rPr>
                <w:rFonts w:hint="eastAsia" w:ascii="Times New Roman" w:hAnsi="Times New Roman" w:cs="Times New Roman"/>
                <w:lang w:val="en-US" w:eastAsia="zh-CN"/>
              </w:rPr>
              <w:t>55</w:t>
            </w:r>
            <w:r>
              <w:rPr>
                <w:rFonts w:hint="default" w:ascii="Times New Roman" w:hAnsi="Times New Roman" w:cs="Times New Roman"/>
                <w:lang w:val="zh-CN" w:eastAsia="zh-CN"/>
              </w:rPr>
              <w:t>mg/L、</w:t>
            </w:r>
            <w:r>
              <w:rPr>
                <w:rFonts w:hint="default" w:ascii="Times New Roman" w:hAnsi="Times New Roman" w:cs="Times New Roman"/>
                <w:lang w:val="en-US" w:eastAsia="zh-CN"/>
              </w:rPr>
              <w:t>TP</w:t>
            </w:r>
            <w:r>
              <w:rPr>
                <w:rFonts w:hint="default" w:ascii="Times New Roman" w:hAnsi="Times New Roman" w:cs="Times New Roman"/>
                <w:lang w:val="zh-CN" w:eastAsia="zh-CN"/>
              </w:rPr>
              <w:t>：</w:t>
            </w:r>
            <w:r>
              <w:rPr>
                <w:rFonts w:hint="eastAsia" w:ascii="Times New Roman" w:hAnsi="Times New Roman" w:cs="Times New Roman"/>
                <w:lang w:val="en-US" w:eastAsia="zh-CN"/>
              </w:rPr>
              <w:t>6</w:t>
            </w:r>
            <w:r>
              <w:rPr>
                <w:rFonts w:hint="default" w:ascii="Times New Roman" w:hAnsi="Times New Roman" w:cs="Times New Roman"/>
                <w:lang w:val="zh-CN" w:eastAsia="zh-CN"/>
              </w:rPr>
              <w:t>mg/L，</w:t>
            </w:r>
            <w:r>
              <w:rPr>
                <w:rFonts w:hint="eastAsia"/>
                <w:lang w:val="en-US" w:eastAsia="zh-CN"/>
              </w:rPr>
              <w:t>产生的生活污水依托租赁房化粪池处理达到《污水综合排放标准》</w:t>
            </w:r>
            <w:r>
              <w:rPr>
                <w:rFonts w:hint="default" w:ascii="Times New Roman" w:hAnsi="Times New Roman" w:cs="Times New Roman"/>
                <w:lang w:val="en-US" w:eastAsia="zh-CN"/>
              </w:rPr>
              <w:t>（GB8978-1996）</w:t>
            </w:r>
            <w:r>
              <w:rPr>
                <w:rFonts w:hint="eastAsia" w:ascii="Times New Roman" w:hAnsi="Times New Roman" w:cs="Times New Roman"/>
                <w:lang w:val="en-US" w:eastAsia="zh-CN"/>
              </w:rPr>
              <w:t>，其中氨氮、总磷、总氮达到《污水排入城镇下水道水质标准》（GB/T31962-2015）表1中B及标准</w:t>
            </w:r>
            <w:r>
              <w:rPr>
                <w:rFonts w:hint="eastAsia"/>
                <w:lang w:val="en-US" w:eastAsia="zh-CN"/>
              </w:rPr>
              <w:t>后，排入市政污水管网，纳入秀屿区港城污水处理厂处理</w:t>
            </w:r>
            <w:r>
              <w:rPr>
                <w:rFonts w:hint="default" w:ascii="Times New Roman" w:hAnsi="Times New Roman" w:cs="Times New Roman"/>
                <w:lang w:val="en-US" w:eastAsia="zh-CN"/>
              </w:rPr>
              <w:t>，</w:t>
            </w:r>
            <w:r>
              <w:rPr>
                <w:rFonts w:hint="eastAsia"/>
                <w:lang w:val="en-US" w:eastAsia="zh-CN"/>
              </w:rPr>
              <w:t>根据《排水工程》（下册）可知</w:t>
            </w:r>
            <w:r>
              <w:rPr>
                <w:rFonts w:hint="default" w:ascii="Times New Roman" w:hAnsi="Times New Roman" w:cs="Times New Roman"/>
                <w:lang w:val="zh-CN" w:eastAsia="zh-CN"/>
              </w:rPr>
              <w:t>化粪池处理效率约为COD</w:t>
            </w:r>
            <w:r>
              <w:rPr>
                <w:rFonts w:hint="default" w:ascii="Times New Roman" w:hAnsi="Times New Roman" w:cs="Times New Roman"/>
                <w:vertAlign w:val="subscript"/>
                <w:lang w:val="zh-CN" w:eastAsia="zh-CN"/>
              </w:rPr>
              <w:t>Cr</w:t>
            </w:r>
            <w:r>
              <w:rPr>
                <w:rFonts w:hint="default" w:ascii="Times New Roman" w:hAnsi="Times New Roman" w:cs="Times New Roman"/>
                <w:lang w:val="zh-CN" w:eastAsia="zh-CN"/>
              </w:rPr>
              <w:t>：15%、BOD5：9%、氨氮：0%、SS：30%、</w:t>
            </w:r>
            <w:r>
              <w:rPr>
                <w:rFonts w:hint="default" w:ascii="Times New Roman" w:hAnsi="Times New Roman" w:cs="Times New Roman"/>
                <w:lang w:val="en-US" w:eastAsia="zh-CN"/>
              </w:rPr>
              <w:t>TN</w:t>
            </w:r>
            <w:r>
              <w:rPr>
                <w:rFonts w:hint="default" w:ascii="Times New Roman" w:hAnsi="Times New Roman" w:cs="Times New Roman"/>
                <w:lang w:val="zh-CN" w:eastAsia="zh-CN"/>
              </w:rPr>
              <w:t>：</w:t>
            </w:r>
            <w:r>
              <w:rPr>
                <w:rFonts w:hint="default" w:ascii="Times New Roman" w:hAnsi="Times New Roman" w:cs="Times New Roman"/>
                <w:lang w:val="en-US" w:eastAsia="zh-CN"/>
              </w:rPr>
              <w:t>0</w:t>
            </w:r>
            <w:r>
              <w:rPr>
                <w:rFonts w:hint="default" w:ascii="Times New Roman" w:hAnsi="Times New Roman" w:cs="Times New Roman"/>
                <w:lang w:val="zh-CN" w:eastAsia="zh-CN"/>
              </w:rPr>
              <w:t>、</w:t>
            </w:r>
            <w:r>
              <w:rPr>
                <w:rFonts w:hint="default" w:ascii="Times New Roman" w:hAnsi="Times New Roman" w:cs="Times New Roman"/>
                <w:lang w:val="en-US" w:eastAsia="zh-CN"/>
              </w:rPr>
              <w:t>TP</w:t>
            </w:r>
            <w:r>
              <w:rPr>
                <w:rFonts w:hint="default" w:ascii="Times New Roman" w:hAnsi="Times New Roman" w:cs="Times New Roman"/>
                <w:lang w:val="zh-CN" w:eastAsia="zh-CN"/>
              </w:rPr>
              <w:t>：</w:t>
            </w:r>
            <w:r>
              <w:rPr>
                <w:rFonts w:hint="default" w:ascii="Times New Roman" w:hAnsi="Times New Roman" w:cs="Times New Roman"/>
                <w:lang w:val="en-US" w:eastAsia="zh-CN"/>
              </w:rPr>
              <w:t>0</w:t>
            </w:r>
            <w:r>
              <w:rPr>
                <w:rFonts w:hint="eastAsia" w:ascii="Times New Roman" w:hAnsi="Times New Roman" w:cs="Times New Roman"/>
                <w:lang w:val="en-US" w:eastAsia="zh-CN"/>
              </w:rPr>
              <w:t>。</w:t>
            </w:r>
            <w:r>
              <w:rPr>
                <w:rFonts w:hint="default" w:ascii="Times New Roman" w:hAnsi="Times New Roman" w:cs="Times New Roman"/>
                <w:lang w:val="en-US" w:eastAsia="zh-CN"/>
              </w:rPr>
              <w:t>项目生活污水产排情况祥见下表4-</w:t>
            </w:r>
            <w:r>
              <w:rPr>
                <w:rFonts w:hint="eastAsia" w:ascii="Times New Roman" w:hAnsi="Times New Roman" w:cs="Times New Roman"/>
                <w:lang w:val="en-US" w:eastAsia="zh-CN"/>
              </w:rPr>
              <w:t>9。</w:t>
            </w:r>
          </w:p>
          <w:p w14:paraId="3454AB38">
            <w:pPr>
              <w:widowControl w:val="0"/>
              <w:wordWrap/>
              <w:adjustRightInd/>
              <w:snapToGrid/>
              <w:spacing w:line="360" w:lineRule="auto"/>
              <w:ind w:firstLine="0" w:firstLineChars="0"/>
              <w:jc w:val="center"/>
              <w:textAlignment w:val="auto"/>
              <w:rPr>
                <w:rFonts w:hint="default" w:eastAsia="宋体"/>
                <w:b/>
                <w:bCs/>
                <w:lang w:val="en-US" w:eastAsia="zh-CN"/>
              </w:rPr>
            </w:pPr>
            <w:r>
              <w:rPr>
                <w:rFonts w:hint="eastAsia"/>
                <w:b/>
                <w:bCs/>
                <w:lang w:val="en-US" w:eastAsia="zh-CN"/>
              </w:rPr>
              <w:t>表4-9  生活污水产排情况一览表</w:t>
            </w:r>
          </w:p>
          <w:tbl>
            <w:tblPr>
              <w:tblStyle w:val="17"/>
              <w:tblW w:w="7881"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
            <w:tblGrid>
              <w:gridCol w:w="722"/>
              <w:gridCol w:w="936"/>
              <w:gridCol w:w="930"/>
              <w:gridCol w:w="1085"/>
              <w:gridCol w:w="1060"/>
              <w:gridCol w:w="1095"/>
              <w:gridCol w:w="1122"/>
              <w:gridCol w:w="931"/>
            </w:tblGrid>
            <w:tr w14:paraId="13F35A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711" w:hRule="atLeast"/>
              </w:trPr>
              <w:tc>
                <w:tcPr>
                  <w:tcW w:w="722" w:type="dxa"/>
                  <w:vMerge w:val="restart"/>
                  <w:tcBorders>
                    <w:tl2br w:val="nil"/>
                    <w:tr2bl w:val="nil"/>
                  </w:tcBorders>
                  <w:vAlign w:val="center"/>
                </w:tcPr>
                <w:p w14:paraId="6569184F">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项目</w:t>
                  </w:r>
                </w:p>
              </w:tc>
              <w:tc>
                <w:tcPr>
                  <w:tcW w:w="936" w:type="dxa"/>
                  <w:tcBorders>
                    <w:tl2br w:val="nil"/>
                    <w:tr2bl w:val="nil"/>
                  </w:tcBorders>
                  <w:vAlign w:val="center"/>
                </w:tcPr>
                <w:p w14:paraId="361E0B2A">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污染物</w:t>
                  </w:r>
                </w:p>
              </w:tc>
              <w:tc>
                <w:tcPr>
                  <w:tcW w:w="930" w:type="dxa"/>
                  <w:tcBorders>
                    <w:tl2br w:val="nil"/>
                    <w:tr2bl w:val="nil"/>
                  </w:tcBorders>
                  <w:vAlign w:val="center"/>
                </w:tcPr>
                <w:p w14:paraId="4B6B6FD6">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产生浓度（mg/L）</w:t>
                  </w:r>
                </w:p>
              </w:tc>
              <w:tc>
                <w:tcPr>
                  <w:tcW w:w="1085" w:type="dxa"/>
                  <w:tcBorders>
                    <w:tl2br w:val="nil"/>
                    <w:tr2bl w:val="nil"/>
                  </w:tcBorders>
                  <w:vAlign w:val="center"/>
                </w:tcPr>
                <w:p w14:paraId="2DF4B6F0">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产生量</w:t>
                  </w:r>
                </w:p>
                <w:p w14:paraId="0FCF0DF1">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w:t>
                  </w:r>
                </w:p>
              </w:tc>
              <w:tc>
                <w:tcPr>
                  <w:tcW w:w="1060" w:type="dxa"/>
                  <w:tcBorders>
                    <w:tl2br w:val="nil"/>
                    <w:tr2bl w:val="nil"/>
                  </w:tcBorders>
                  <w:vAlign w:val="center"/>
                </w:tcPr>
                <w:p w14:paraId="7A00CC8E">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处理效率（%）</w:t>
                  </w:r>
                </w:p>
              </w:tc>
              <w:tc>
                <w:tcPr>
                  <w:tcW w:w="1095" w:type="dxa"/>
                  <w:tcBorders>
                    <w:tl2br w:val="nil"/>
                    <w:tr2bl w:val="nil"/>
                  </w:tcBorders>
                  <w:vAlign w:val="center"/>
                </w:tcPr>
                <w:p w14:paraId="5BDE3F58">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削减量</w:t>
                  </w:r>
                </w:p>
                <w:p w14:paraId="1B8D8B19">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w:t>
                  </w:r>
                </w:p>
              </w:tc>
              <w:tc>
                <w:tcPr>
                  <w:tcW w:w="1122" w:type="dxa"/>
                  <w:tcBorders>
                    <w:tl2br w:val="nil"/>
                    <w:tr2bl w:val="nil"/>
                  </w:tcBorders>
                  <w:vAlign w:val="center"/>
                </w:tcPr>
                <w:p w14:paraId="261D2A43">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排放量</w:t>
                  </w:r>
                </w:p>
                <w:p w14:paraId="3AA91FC5">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（t/a）</w:t>
                  </w:r>
                </w:p>
              </w:tc>
              <w:tc>
                <w:tcPr>
                  <w:tcW w:w="931" w:type="dxa"/>
                  <w:tcBorders>
                    <w:tl2br w:val="nil"/>
                    <w:tr2bl w:val="nil"/>
                  </w:tcBorders>
                  <w:vAlign w:val="center"/>
                </w:tcPr>
                <w:p w14:paraId="1DDFA408">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排放浓度（mg/L）</w:t>
                  </w:r>
                </w:p>
              </w:tc>
            </w:tr>
            <w:tr w14:paraId="6D9DD0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restart"/>
                  <w:tcBorders>
                    <w:tl2br w:val="nil"/>
                    <w:tr2bl w:val="nil"/>
                  </w:tcBorders>
                  <w:vAlign w:val="center"/>
                </w:tcPr>
                <w:p w14:paraId="7C96A4CA">
                  <w:pPr>
                    <w:pStyle w:val="24"/>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污染物</w:t>
                  </w:r>
                </w:p>
              </w:tc>
              <w:tc>
                <w:tcPr>
                  <w:tcW w:w="936" w:type="dxa"/>
                  <w:tcBorders>
                    <w:tl2br w:val="nil"/>
                    <w:tr2bl w:val="nil"/>
                  </w:tcBorders>
                  <w:vAlign w:val="center"/>
                </w:tcPr>
                <w:p w14:paraId="353BEE0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废水量</w:t>
                  </w:r>
                </w:p>
              </w:tc>
              <w:tc>
                <w:tcPr>
                  <w:tcW w:w="930" w:type="dxa"/>
                  <w:tcBorders>
                    <w:tl2br w:val="nil"/>
                    <w:tr2bl w:val="nil"/>
                  </w:tcBorders>
                  <w:vAlign w:val="center"/>
                </w:tcPr>
                <w:p w14:paraId="28CC181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85" w:type="dxa"/>
                  <w:tcBorders>
                    <w:tl2br w:val="nil"/>
                    <w:tr2bl w:val="nil"/>
                  </w:tcBorders>
                  <w:vAlign w:val="center"/>
                </w:tcPr>
                <w:p w14:paraId="01AC76C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1440</w:t>
                  </w:r>
                </w:p>
              </w:tc>
              <w:tc>
                <w:tcPr>
                  <w:tcW w:w="1060" w:type="dxa"/>
                  <w:tcBorders>
                    <w:tl2br w:val="nil"/>
                    <w:tr2bl w:val="nil"/>
                  </w:tcBorders>
                  <w:vAlign w:val="center"/>
                </w:tcPr>
                <w:p w14:paraId="7560FFF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95" w:type="dxa"/>
                  <w:tcBorders>
                    <w:tl2br w:val="nil"/>
                    <w:tr2bl w:val="nil"/>
                  </w:tcBorders>
                  <w:vAlign w:val="center"/>
                </w:tcPr>
                <w:p w14:paraId="49915DD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22" w:type="dxa"/>
                  <w:tcBorders>
                    <w:tl2br w:val="nil"/>
                    <w:tr2bl w:val="nil"/>
                  </w:tcBorders>
                  <w:vAlign w:val="center"/>
                </w:tcPr>
                <w:p w14:paraId="35F1858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1440</w:t>
                  </w:r>
                </w:p>
              </w:tc>
              <w:tc>
                <w:tcPr>
                  <w:tcW w:w="931" w:type="dxa"/>
                  <w:tcBorders>
                    <w:tl2br w:val="nil"/>
                    <w:tr2bl w:val="nil"/>
                  </w:tcBorders>
                  <w:vAlign w:val="center"/>
                </w:tcPr>
                <w:p w14:paraId="36F5C92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r>
            <w:tr w14:paraId="0262CB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continue"/>
                  <w:tcBorders>
                    <w:tl2br w:val="nil"/>
                    <w:tr2bl w:val="nil"/>
                  </w:tcBorders>
                  <w:vAlign w:val="center"/>
                </w:tcPr>
                <w:p w14:paraId="2681E4C6">
                  <w:pPr>
                    <w:pStyle w:val="24"/>
                    <w:jc w:val="center"/>
                    <w:rPr>
                      <w:rFonts w:hint="default" w:ascii="Times New Roman" w:hAnsi="Times New Roman" w:cs="Times New Roman"/>
                      <w:sz w:val="18"/>
                      <w:szCs w:val="18"/>
                      <w:lang w:val="en-US" w:eastAsia="zh-CN"/>
                    </w:rPr>
                  </w:pPr>
                </w:p>
              </w:tc>
              <w:tc>
                <w:tcPr>
                  <w:tcW w:w="936" w:type="dxa"/>
                  <w:tcBorders>
                    <w:tl2br w:val="nil"/>
                    <w:tr2bl w:val="nil"/>
                  </w:tcBorders>
                  <w:vAlign w:val="center"/>
                </w:tcPr>
                <w:p w14:paraId="07E2873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COD</w:t>
                  </w:r>
                  <w:r>
                    <w:rPr>
                      <w:rFonts w:hint="default" w:ascii="Times New Roman" w:hAnsi="Times New Roman" w:eastAsia="宋体" w:cs="Times New Roman"/>
                      <w:i w:val="0"/>
                      <w:iCs w:val="0"/>
                      <w:color w:val="000000"/>
                      <w:kern w:val="0"/>
                      <w:sz w:val="18"/>
                      <w:szCs w:val="18"/>
                      <w:u w:val="none"/>
                      <w:vertAlign w:val="subscript"/>
                      <w:lang w:val="en-US" w:eastAsia="zh-CN" w:bidi="ar"/>
                    </w:rPr>
                    <w:t>Cr</w:t>
                  </w:r>
                </w:p>
              </w:tc>
              <w:tc>
                <w:tcPr>
                  <w:tcW w:w="930" w:type="dxa"/>
                  <w:tcBorders>
                    <w:tl2br w:val="nil"/>
                    <w:tr2bl w:val="nil"/>
                  </w:tcBorders>
                  <w:vAlign w:val="center"/>
                </w:tcPr>
                <w:p w14:paraId="6E63470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1085" w:type="dxa"/>
                  <w:tcBorders>
                    <w:tl2br w:val="nil"/>
                    <w:tr2bl w:val="nil"/>
                  </w:tcBorders>
                  <w:vAlign w:val="center"/>
                </w:tcPr>
                <w:p w14:paraId="1307594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0.6984</w:t>
                  </w:r>
                </w:p>
              </w:tc>
              <w:tc>
                <w:tcPr>
                  <w:tcW w:w="1060" w:type="dxa"/>
                  <w:tcBorders>
                    <w:tl2br w:val="nil"/>
                    <w:tr2bl w:val="nil"/>
                  </w:tcBorders>
                  <w:vAlign w:val="center"/>
                </w:tcPr>
                <w:p w14:paraId="3FB87FC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095" w:type="dxa"/>
                  <w:tcBorders>
                    <w:tl2br w:val="nil"/>
                    <w:tr2bl w:val="nil"/>
                  </w:tcBorders>
                  <w:vAlign w:val="center"/>
                </w:tcPr>
                <w:p w14:paraId="6E796BE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0.1048</w:t>
                  </w:r>
                </w:p>
              </w:tc>
              <w:tc>
                <w:tcPr>
                  <w:tcW w:w="1122" w:type="dxa"/>
                  <w:tcBorders>
                    <w:tl2br w:val="nil"/>
                    <w:tr2bl w:val="nil"/>
                  </w:tcBorders>
                  <w:vAlign w:val="center"/>
                </w:tcPr>
                <w:p w14:paraId="4C5B82B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0.5936</w:t>
                  </w:r>
                </w:p>
              </w:tc>
              <w:tc>
                <w:tcPr>
                  <w:tcW w:w="931" w:type="dxa"/>
                  <w:tcBorders>
                    <w:tl2br w:val="nil"/>
                    <w:tr2bl w:val="nil"/>
                  </w:tcBorders>
                  <w:vAlign w:val="center"/>
                </w:tcPr>
                <w:p w14:paraId="1927EBF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412.25</w:t>
                  </w:r>
                </w:p>
              </w:tc>
            </w:tr>
            <w:tr w14:paraId="1D745B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continue"/>
                  <w:tcBorders>
                    <w:tl2br w:val="nil"/>
                    <w:tr2bl w:val="nil"/>
                  </w:tcBorders>
                  <w:vAlign w:val="center"/>
                </w:tcPr>
                <w:p w14:paraId="4B1DFC72">
                  <w:pPr>
                    <w:pStyle w:val="24"/>
                    <w:jc w:val="center"/>
                    <w:rPr>
                      <w:rFonts w:hint="default" w:ascii="Times New Roman" w:hAnsi="Times New Roman" w:cs="Times New Roman"/>
                      <w:sz w:val="18"/>
                      <w:szCs w:val="18"/>
                      <w:lang w:val="en-US" w:eastAsia="zh-CN"/>
                    </w:rPr>
                  </w:pPr>
                </w:p>
              </w:tc>
              <w:tc>
                <w:tcPr>
                  <w:tcW w:w="936" w:type="dxa"/>
                  <w:tcBorders>
                    <w:tl2br w:val="nil"/>
                    <w:tr2bl w:val="nil"/>
                  </w:tcBorders>
                  <w:vAlign w:val="center"/>
                </w:tcPr>
                <w:p w14:paraId="45D5514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BOD</w:t>
                  </w:r>
                  <w:r>
                    <w:rPr>
                      <w:rFonts w:hint="default" w:ascii="Times New Roman" w:hAnsi="Times New Roman" w:eastAsia="宋体" w:cs="Times New Roman"/>
                      <w:i w:val="0"/>
                      <w:iCs w:val="0"/>
                      <w:color w:val="000000"/>
                      <w:kern w:val="0"/>
                      <w:sz w:val="18"/>
                      <w:szCs w:val="18"/>
                      <w:u w:val="none"/>
                      <w:vertAlign w:val="subscript"/>
                      <w:lang w:val="en-US" w:eastAsia="zh-CN" w:bidi="ar"/>
                    </w:rPr>
                    <w:t>5</w:t>
                  </w:r>
                </w:p>
              </w:tc>
              <w:tc>
                <w:tcPr>
                  <w:tcW w:w="930" w:type="dxa"/>
                  <w:tcBorders>
                    <w:tl2br w:val="nil"/>
                    <w:tr2bl w:val="nil"/>
                  </w:tcBorders>
                  <w:vAlign w:val="center"/>
                </w:tcPr>
                <w:p w14:paraId="0965A4A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1085" w:type="dxa"/>
                  <w:tcBorders>
                    <w:tl2br w:val="nil"/>
                    <w:tr2bl w:val="nil"/>
                  </w:tcBorders>
                  <w:vAlign w:val="center"/>
                </w:tcPr>
                <w:p w14:paraId="65FA4A0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0.3139</w:t>
                  </w:r>
                </w:p>
              </w:tc>
              <w:tc>
                <w:tcPr>
                  <w:tcW w:w="1060" w:type="dxa"/>
                  <w:tcBorders>
                    <w:tl2br w:val="nil"/>
                    <w:tr2bl w:val="nil"/>
                  </w:tcBorders>
                  <w:vAlign w:val="center"/>
                </w:tcPr>
                <w:p w14:paraId="02C4539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095" w:type="dxa"/>
                  <w:tcBorders>
                    <w:tl2br w:val="nil"/>
                    <w:tr2bl w:val="nil"/>
                  </w:tcBorders>
                  <w:vAlign w:val="center"/>
                </w:tcPr>
                <w:p w14:paraId="218D9A1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0.0283</w:t>
                  </w:r>
                </w:p>
              </w:tc>
              <w:tc>
                <w:tcPr>
                  <w:tcW w:w="1122" w:type="dxa"/>
                  <w:tcBorders>
                    <w:tl2br w:val="nil"/>
                    <w:tr2bl w:val="nil"/>
                  </w:tcBorders>
                  <w:vAlign w:val="center"/>
                </w:tcPr>
                <w:p w14:paraId="7F6DA43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0.2857</w:t>
                  </w:r>
                </w:p>
              </w:tc>
              <w:tc>
                <w:tcPr>
                  <w:tcW w:w="931" w:type="dxa"/>
                  <w:tcBorders>
                    <w:tl2br w:val="nil"/>
                    <w:tr2bl w:val="nil"/>
                  </w:tcBorders>
                  <w:vAlign w:val="center"/>
                </w:tcPr>
                <w:p w14:paraId="6D418DC1">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198.38</w:t>
                  </w:r>
                </w:p>
              </w:tc>
            </w:tr>
            <w:tr w14:paraId="28E9C92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continue"/>
                  <w:tcBorders>
                    <w:tl2br w:val="nil"/>
                    <w:tr2bl w:val="nil"/>
                  </w:tcBorders>
                  <w:vAlign w:val="center"/>
                </w:tcPr>
                <w:p w14:paraId="5909A3FD">
                  <w:pPr>
                    <w:pStyle w:val="24"/>
                    <w:jc w:val="center"/>
                    <w:rPr>
                      <w:rFonts w:hint="default" w:ascii="Times New Roman" w:hAnsi="Times New Roman" w:cs="Times New Roman"/>
                      <w:sz w:val="18"/>
                      <w:szCs w:val="18"/>
                      <w:lang w:val="en-US" w:eastAsia="zh-CN"/>
                    </w:rPr>
                  </w:pPr>
                </w:p>
              </w:tc>
              <w:tc>
                <w:tcPr>
                  <w:tcW w:w="936" w:type="dxa"/>
                  <w:tcBorders>
                    <w:tl2br w:val="nil"/>
                    <w:tr2bl w:val="nil"/>
                  </w:tcBorders>
                  <w:vAlign w:val="center"/>
                </w:tcPr>
                <w:p w14:paraId="068B07F1">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930" w:type="dxa"/>
                  <w:tcBorders>
                    <w:tl2br w:val="nil"/>
                    <w:tr2bl w:val="nil"/>
                  </w:tcBorders>
                  <w:vAlign w:val="center"/>
                </w:tcPr>
                <w:p w14:paraId="7A6FB81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1085" w:type="dxa"/>
                  <w:tcBorders>
                    <w:tl2br w:val="nil"/>
                    <w:tr2bl w:val="nil"/>
                  </w:tcBorders>
                  <w:vAlign w:val="center"/>
                </w:tcPr>
                <w:p w14:paraId="2357D8E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0.3168</w:t>
                  </w:r>
                </w:p>
              </w:tc>
              <w:tc>
                <w:tcPr>
                  <w:tcW w:w="1060" w:type="dxa"/>
                  <w:tcBorders>
                    <w:tl2br w:val="nil"/>
                    <w:tr2bl w:val="nil"/>
                  </w:tcBorders>
                  <w:vAlign w:val="center"/>
                </w:tcPr>
                <w:p w14:paraId="16DD999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1095" w:type="dxa"/>
                  <w:tcBorders>
                    <w:tl2br w:val="nil"/>
                    <w:tr2bl w:val="nil"/>
                  </w:tcBorders>
                  <w:vAlign w:val="center"/>
                </w:tcPr>
                <w:p w14:paraId="161E3A4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0.0950</w:t>
                  </w:r>
                </w:p>
              </w:tc>
              <w:tc>
                <w:tcPr>
                  <w:tcW w:w="1122" w:type="dxa"/>
                  <w:tcBorders>
                    <w:tl2br w:val="nil"/>
                    <w:tr2bl w:val="nil"/>
                  </w:tcBorders>
                  <w:vAlign w:val="center"/>
                </w:tcPr>
                <w:p w14:paraId="12F21E7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0.2218</w:t>
                  </w:r>
                </w:p>
              </w:tc>
              <w:tc>
                <w:tcPr>
                  <w:tcW w:w="931" w:type="dxa"/>
                  <w:tcBorders>
                    <w:tl2br w:val="nil"/>
                    <w:tr2bl w:val="nil"/>
                  </w:tcBorders>
                  <w:vAlign w:val="center"/>
                </w:tcPr>
                <w:p w14:paraId="18D515B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154</w:t>
                  </w:r>
                </w:p>
              </w:tc>
            </w:tr>
            <w:tr w14:paraId="4932A6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continue"/>
                  <w:tcBorders>
                    <w:tl2br w:val="nil"/>
                    <w:tr2bl w:val="nil"/>
                  </w:tcBorders>
                  <w:vAlign w:val="center"/>
                </w:tcPr>
                <w:p w14:paraId="4C476C2F">
                  <w:pPr>
                    <w:pStyle w:val="24"/>
                    <w:jc w:val="center"/>
                    <w:rPr>
                      <w:rFonts w:hint="default" w:ascii="Times New Roman" w:hAnsi="Times New Roman" w:cs="Times New Roman"/>
                      <w:sz w:val="18"/>
                      <w:szCs w:val="18"/>
                      <w:lang w:val="en-US" w:eastAsia="zh-CN"/>
                    </w:rPr>
                  </w:pPr>
                </w:p>
              </w:tc>
              <w:tc>
                <w:tcPr>
                  <w:tcW w:w="936" w:type="dxa"/>
                  <w:tcBorders>
                    <w:tl2br w:val="nil"/>
                    <w:tr2bl w:val="nil"/>
                  </w:tcBorders>
                  <w:vAlign w:val="center"/>
                </w:tcPr>
                <w:p w14:paraId="6B7F83E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NH</w:t>
                  </w:r>
                  <w:r>
                    <w:rPr>
                      <w:rFonts w:hint="default" w:ascii="Times New Roman" w:hAnsi="Times New Roman" w:eastAsia="宋体" w:cs="Times New Roman"/>
                      <w:i w:val="0"/>
                      <w:iCs w:val="0"/>
                      <w:color w:val="000000"/>
                      <w:kern w:val="0"/>
                      <w:sz w:val="18"/>
                      <w:szCs w:val="18"/>
                      <w:u w:val="none"/>
                      <w:vertAlign w:val="subscript"/>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-N</w:t>
                  </w:r>
                </w:p>
              </w:tc>
              <w:tc>
                <w:tcPr>
                  <w:tcW w:w="930" w:type="dxa"/>
                  <w:tcBorders>
                    <w:tl2br w:val="nil"/>
                    <w:tr2bl w:val="nil"/>
                  </w:tcBorders>
                  <w:vAlign w:val="center"/>
                </w:tcPr>
                <w:p w14:paraId="462B660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085" w:type="dxa"/>
                  <w:tcBorders>
                    <w:tl2br w:val="nil"/>
                    <w:tr2bl w:val="nil"/>
                  </w:tcBorders>
                  <w:vAlign w:val="center"/>
                </w:tcPr>
                <w:p w14:paraId="44F6D27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0.0576</w:t>
                  </w:r>
                </w:p>
              </w:tc>
              <w:tc>
                <w:tcPr>
                  <w:tcW w:w="1060" w:type="dxa"/>
                  <w:tcBorders>
                    <w:tl2br w:val="nil"/>
                    <w:tr2bl w:val="nil"/>
                  </w:tcBorders>
                  <w:vAlign w:val="center"/>
                </w:tcPr>
                <w:p w14:paraId="341177F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95" w:type="dxa"/>
                  <w:tcBorders>
                    <w:tl2br w:val="nil"/>
                    <w:tr2bl w:val="nil"/>
                  </w:tcBorders>
                  <w:vAlign w:val="center"/>
                </w:tcPr>
                <w:p w14:paraId="17CE7F3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22" w:type="dxa"/>
                  <w:tcBorders>
                    <w:tl2br w:val="nil"/>
                    <w:tr2bl w:val="nil"/>
                  </w:tcBorders>
                  <w:vAlign w:val="center"/>
                </w:tcPr>
                <w:p w14:paraId="35AA814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0.0576</w:t>
                  </w:r>
                </w:p>
              </w:tc>
              <w:tc>
                <w:tcPr>
                  <w:tcW w:w="931" w:type="dxa"/>
                  <w:tcBorders>
                    <w:tl2br w:val="nil"/>
                    <w:tr2bl w:val="nil"/>
                  </w:tcBorders>
                  <w:vAlign w:val="center"/>
                </w:tcPr>
                <w:p w14:paraId="777C84E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w:t>
                  </w:r>
                </w:p>
              </w:tc>
            </w:tr>
            <w:tr w14:paraId="506FDB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continue"/>
                  <w:tcBorders>
                    <w:tl2br w:val="nil"/>
                    <w:tr2bl w:val="nil"/>
                  </w:tcBorders>
                  <w:vAlign w:val="center"/>
                </w:tcPr>
                <w:p w14:paraId="75A74615">
                  <w:pPr>
                    <w:pStyle w:val="24"/>
                    <w:jc w:val="center"/>
                    <w:rPr>
                      <w:rFonts w:hint="default" w:ascii="Times New Roman" w:hAnsi="Times New Roman" w:cs="Times New Roman"/>
                      <w:sz w:val="18"/>
                      <w:szCs w:val="18"/>
                      <w:lang w:val="en-US" w:eastAsia="zh-CN"/>
                    </w:rPr>
                  </w:pPr>
                </w:p>
              </w:tc>
              <w:tc>
                <w:tcPr>
                  <w:tcW w:w="936" w:type="dxa"/>
                  <w:tcBorders>
                    <w:tl2br w:val="nil"/>
                    <w:tr2bl w:val="nil"/>
                  </w:tcBorders>
                  <w:vAlign w:val="center"/>
                </w:tcPr>
                <w:p w14:paraId="3A4064C4">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TN</w:t>
                  </w:r>
                </w:p>
              </w:tc>
              <w:tc>
                <w:tcPr>
                  <w:tcW w:w="930" w:type="dxa"/>
                  <w:tcBorders>
                    <w:tl2br w:val="nil"/>
                    <w:tr2bl w:val="nil"/>
                  </w:tcBorders>
                  <w:vAlign w:val="center"/>
                </w:tcPr>
                <w:p w14:paraId="78AC19E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1085" w:type="dxa"/>
                  <w:tcBorders>
                    <w:tl2br w:val="nil"/>
                    <w:tr2bl w:val="nil"/>
                  </w:tcBorders>
                  <w:vAlign w:val="center"/>
                </w:tcPr>
                <w:p w14:paraId="2843EA6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0.0792</w:t>
                  </w:r>
                </w:p>
              </w:tc>
              <w:tc>
                <w:tcPr>
                  <w:tcW w:w="1060" w:type="dxa"/>
                  <w:tcBorders>
                    <w:tl2br w:val="nil"/>
                    <w:tr2bl w:val="nil"/>
                  </w:tcBorders>
                  <w:vAlign w:val="center"/>
                </w:tcPr>
                <w:p w14:paraId="360652F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95" w:type="dxa"/>
                  <w:tcBorders>
                    <w:tl2br w:val="nil"/>
                    <w:tr2bl w:val="nil"/>
                  </w:tcBorders>
                  <w:vAlign w:val="center"/>
                </w:tcPr>
                <w:p w14:paraId="2913A9E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22" w:type="dxa"/>
                  <w:tcBorders>
                    <w:tl2br w:val="nil"/>
                    <w:tr2bl w:val="nil"/>
                  </w:tcBorders>
                  <w:vAlign w:val="center"/>
                </w:tcPr>
                <w:p w14:paraId="24C94B7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0.0792</w:t>
                  </w:r>
                </w:p>
              </w:tc>
              <w:tc>
                <w:tcPr>
                  <w:tcW w:w="931" w:type="dxa"/>
                  <w:tcBorders>
                    <w:tl2br w:val="nil"/>
                    <w:tr2bl w:val="nil"/>
                  </w:tcBorders>
                  <w:vAlign w:val="center"/>
                </w:tcPr>
                <w:p w14:paraId="6682EB5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55</w:t>
                  </w:r>
                </w:p>
              </w:tc>
            </w:tr>
            <w:tr w14:paraId="275476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7" w:hRule="exact"/>
              </w:trPr>
              <w:tc>
                <w:tcPr>
                  <w:tcW w:w="722" w:type="dxa"/>
                  <w:vMerge w:val="continue"/>
                  <w:tcBorders>
                    <w:tl2br w:val="nil"/>
                    <w:tr2bl w:val="nil"/>
                  </w:tcBorders>
                  <w:vAlign w:val="center"/>
                </w:tcPr>
                <w:p w14:paraId="09CED2A8">
                  <w:pPr>
                    <w:pStyle w:val="24"/>
                    <w:jc w:val="center"/>
                    <w:rPr>
                      <w:rFonts w:hint="default" w:ascii="Times New Roman" w:hAnsi="Times New Roman" w:cs="Times New Roman"/>
                      <w:sz w:val="18"/>
                      <w:szCs w:val="18"/>
                      <w:lang w:val="en-US" w:eastAsia="zh-CN"/>
                    </w:rPr>
                  </w:pPr>
                </w:p>
              </w:tc>
              <w:tc>
                <w:tcPr>
                  <w:tcW w:w="936" w:type="dxa"/>
                  <w:tcBorders>
                    <w:tl2br w:val="nil"/>
                    <w:tr2bl w:val="nil"/>
                  </w:tcBorders>
                  <w:vAlign w:val="center"/>
                </w:tcPr>
                <w:p w14:paraId="12B73D9D">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TP</w:t>
                  </w:r>
                </w:p>
              </w:tc>
              <w:tc>
                <w:tcPr>
                  <w:tcW w:w="930" w:type="dxa"/>
                  <w:tcBorders>
                    <w:tl2br w:val="nil"/>
                    <w:tr2bl w:val="nil"/>
                  </w:tcBorders>
                  <w:vAlign w:val="center"/>
                </w:tcPr>
                <w:p w14:paraId="41C1C17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85" w:type="dxa"/>
                  <w:tcBorders>
                    <w:tl2br w:val="nil"/>
                    <w:tr2bl w:val="nil"/>
                  </w:tcBorders>
                  <w:vAlign w:val="center"/>
                </w:tcPr>
                <w:p w14:paraId="788A73F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0.0086</w:t>
                  </w:r>
                </w:p>
              </w:tc>
              <w:tc>
                <w:tcPr>
                  <w:tcW w:w="1060" w:type="dxa"/>
                  <w:tcBorders>
                    <w:tl2br w:val="nil"/>
                    <w:tr2bl w:val="nil"/>
                  </w:tcBorders>
                  <w:vAlign w:val="center"/>
                </w:tcPr>
                <w:p w14:paraId="5D5F3DA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095" w:type="dxa"/>
                  <w:tcBorders>
                    <w:tl2br w:val="nil"/>
                    <w:tr2bl w:val="nil"/>
                  </w:tcBorders>
                  <w:vAlign w:val="center"/>
                </w:tcPr>
                <w:p w14:paraId="23FE865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22" w:type="dxa"/>
                  <w:tcBorders>
                    <w:tl2br w:val="nil"/>
                    <w:tr2bl w:val="nil"/>
                  </w:tcBorders>
                  <w:vAlign w:val="center"/>
                </w:tcPr>
                <w:p w14:paraId="4A464BF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0.0086</w:t>
                  </w:r>
                </w:p>
              </w:tc>
              <w:tc>
                <w:tcPr>
                  <w:tcW w:w="931" w:type="dxa"/>
                  <w:tcBorders>
                    <w:tl2br w:val="nil"/>
                    <w:tr2bl w:val="nil"/>
                  </w:tcBorders>
                  <w:vAlign w:val="center"/>
                </w:tcPr>
                <w:p w14:paraId="51C92FD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w:t>
                  </w:r>
                </w:p>
              </w:tc>
            </w:tr>
          </w:tbl>
          <w:p w14:paraId="47D00630">
            <w:pPr>
              <w:spacing w:line="360" w:lineRule="auto"/>
              <w:rPr>
                <w:rFonts w:hint="eastAsia"/>
                <w:lang w:val="zh-CN" w:eastAsia="zh-CN"/>
              </w:rPr>
            </w:pPr>
            <w:r>
              <w:rPr>
                <w:rFonts w:hint="eastAsia"/>
                <w:lang w:val="en-US" w:eastAsia="zh-CN"/>
              </w:rPr>
              <w:t>由上表可知</w:t>
            </w:r>
            <w:r>
              <w:rPr>
                <w:rFonts w:hint="default"/>
                <w:lang w:val="zh-CN" w:eastAsia="zh-CN"/>
              </w:rPr>
              <w:t>，项目生活污水排放量为</w:t>
            </w:r>
            <w:r>
              <w:rPr>
                <w:rFonts w:hint="eastAsia"/>
                <w:lang w:val="en-US" w:eastAsia="zh-CN"/>
              </w:rPr>
              <w:t>4.8</w:t>
            </w:r>
            <w:r>
              <w:rPr>
                <w:rFonts w:hint="default"/>
                <w:lang w:val="en-US" w:eastAsia="zh-CN"/>
              </w:rPr>
              <w:t>t/d（</w:t>
            </w:r>
            <w:r>
              <w:rPr>
                <w:rFonts w:hint="eastAsia"/>
                <w:lang w:val="en-US" w:eastAsia="zh-CN"/>
              </w:rPr>
              <w:t>1440</w:t>
            </w:r>
            <w:r>
              <w:rPr>
                <w:rFonts w:hint="default"/>
                <w:lang w:val="en-US" w:eastAsia="zh-CN"/>
              </w:rPr>
              <w:t>t/a）</w:t>
            </w:r>
            <w:r>
              <w:rPr>
                <w:rFonts w:hint="default"/>
                <w:lang w:val="zh-CN" w:eastAsia="zh-CN"/>
              </w:rPr>
              <w:t>，</w:t>
            </w:r>
            <w:r>
              <w:rPr>
                <w:rFonts w:hint="eastAsia"/>
                <w:lang w:val="zh-CN" w:eastAsia="zh-CN"/>
              </w:rPr>
              <w:t>生活污水</w:t>
            </w:r>
            <w:r>
              <w:rPr>
                <w:rFonts w:hint="default"/>
                <w:lang w:val="zh-CN" w:eastAsia="zh-CN"/>
              </w:rPr>
              <w:t>经</w:t>
            </w:r>
            <w:r>
              <w:rPr>
                <w:rFonts w:hint="eastAsia"/>
                <w:lang w:val="zh-CN" w:eastAsia="zh-CN"/>
              </w:rPr>
              <w:t>化粪池</w:t>
            </w:r>
            <w:r>
              <w:rPr>
                <w:rFonts w:hint="default"/>
                <w:lang w:val="zh-CN" w:eastAsia="zh-CN"/>
              </w:rPr>
              <w:t>处理后</w:t>
            </w:r>
            <w:r>
              <w:rPr>
                <w:rFonts w:hint="eastAsia"/>
                <w:lang w:val="en-US" w:eastAsia="zh-CN"/>
              </w:rPr>
              <w:t>PH、</w:t>
            </w:r>
            <w:r>
              <w:rPr>
                <w:rFonts w:hint="default"/>
                <w:lang w:val="zh-CN" w:eastAsia="zh-CN"/>
              </w:rPr>
              <w:t>COD、BOD</w:t>
            </w:r>
            <w:r>
              <w:rPr>
                <w:rFonts w:hint="default"/>
                <w:vertAlign w:val="subscript"/>
                <w:lang w:val="zh-CN" w:eastAsia="zh-CN"/>
              </w:rPr>
              <w:t>5</w:t>
            </w:r>
            <w:r>
              <w:rPr>
                <w:rFonts w:hint="default"/>
                <w:lang w:val="zh-CN" w:eastAsia="zh-CN"/>
              </w:rPr>
              <w:t>、SS</w:t>
            </w:r>
            <w:r>
              <w:rPr>
                <w:rFonts w:hint="eastAsia"/>
                <w:lang w:val="zh-CN" w:eastAsia="zh-CN"/>
              </w:rPr>
              <w:t>、</w:t>
            </w:r>
            <w:r>
              <w:rPr>
                <w:rFonts w:hint="default"/>
                <w:lang w:val="zh-CN" w:eastAsia="zh-CN"/>
              </w:rPr>
              <w:t>NH</w:t>
            </w:r>
            <w:r>
              <w:rPr>
                <w:rFonts w:hint="default"/>
                <w:vertAlign w:val="subscript"/>
                <w:lang w:val="zh-CN" w:eastAsia="zh-CN"/>
              </w:rPr>
              <w:t>3</w:t>
            </w:r>
            <w:r>
              <w:rPr>
                <w:rFonts w:hint="default"/>
                <w:lang w:val="zh-CN" w:eastAsia="zh-CN"/>
              </w:rPr>
              <w:t>-N</w:t>
            </w:r>
            <w:r>
              <w:rPr>
                <w:rFonts w:hint="eastAsia"/>
                <w:lang w:val="zh-CN" w:eastAsia="zh-CN"/>
              </w:rPr>
              <w:t>、</w:t>
            </w:r>
            <w:r>
              <w:rPr>
                <w:rFonts w:hint="eastAsia"/>
                <w:lang w:val="en-US" w:eastAsia="zh-CN"/>
              </w:rPr>
              <w:t>TN、TP</w:t>
            </w:r>
            <w:r>
              <w:rPr>
                <w:rFonts w:hint="default"/>
                <w:lang w:val="zh-CN" w:eastAsia="zh-CN"/>
              </w:rPr>
              <w:t>可达</w:t>
            </w:r>
            <w:r>
              <w:rPr>
                <w:rFonts w:hint="eastAsia"/>
                <w:lang w:val="zh-CN" w:eastAsia="zh-CN"/>
              </w:rPr>
              <w:t>《污水综合排放标准》（GB8978-1996）表4三级标准，其中氨氮、</w:t>
            </w:r>
            <w:r>
              <w:rPr>
                <w:rFonts w:hint="eastAsia"/>
                <w:lang w:val="en-US" w:eastAsia="zh-CN"/>
              </w:rPr>
              <w:t>TN、TP</w:t>
            </w:r>
            <w:r>
              <w:rPr>
                <w:rFonts w:hint="eastAsia"/>
                <w:lang w:val="zh-CN" w:eastAsia="zh-CN"/>
              </w:rPr>
              <w:t>可达《污水排入城镇下水道水质标准》（GB/T31962-2015）表1中的B级标准，废水水质</w:t>
            </w:r>
            <w:r>
              <w:rPr>
                <w:rFonts w:hint="default"/>
                <w:lang w:val="zh-CN" w:eastAsia="zh-CN"/>
              </w:rPr>
              <w:t>符合污水入污水管网要求</w:t>
            </w:r>
            <w:r>
              <w:rPr>
                <w:rFonts w:hint="eastAsia"/>
                <w:lang w:val="zh-CN" w:eastAsia="zh-CN"/>
              </w:rPr>
              <w:t>，可达标排放，纳入秀屿区港城污水处理厂</w:t>
            </w:r>
            <w:r>
              <w:rPr>
                <w:rFonts w:hint="eastAsia"/>
                <w:lang w:val="en-US" w:eastAsia="zh-CN"/>
              </w:rPr>
              <w:t>进行进一步的深度</w:t>
            </w:r>
            <w:r>
              <w:rPr>
                <w:rFonts w:hint="eastAsia"/>
                <w:lang w:val="zh-CN" w:eastAsia="zh-CN"/>
              </w:rPr>
              <w:t>处理。</w:t>
            </w:r>
          </w:p>
          <w:p w14:paraId="374C11AE">
            <w:pPr>
              <w:spacing w:line="360" w:lineRule="auto"/>
              <w:rPr>
                <w:rFonts w:hint="eastAsia"/>
                <w:b/>
                <w:bCs/>
                <w:lang w:val="zh-CN" w:eastAsia="zh-CN"/>
              </w:rPr>
            </w:pPr>
            <w:r>
              <w:rPr>
                <w:rFonts w:hint="eastAsia"/>
                <w:b/>
                <w:bCs/>
                <w:lang w:val="en-US" w:eastAsia="zh-CN"/>
              </w:rPr>
              <w:t>（2）依托污水处理厂可行性分析</w:t>
            </w:r>
          </w:p>
          <w:p w14:paraId="52321A9A">
            <w:pPr>
              <w:spacing w:line="360" w:lineRule="auto"/>
              <w:rPr>
                <w:rFonts w:hint="default"/>
                <w:b w:val="0"/>
                <w:bCs w:val="0"/>
                <w:lang w:val="en-US" w:eastAsia="zh-CN"/>
              </w:rPr>
            </w:pPr>
            <w:r>
              <w:rPr>
                <w:rFonts w:hint="eastAsia"/>
                <w:b/>
                <w:bCs/>
                <w:lang w:val="en-US" w:eastAsia="zh-CN"/>
              </w:rPr>
              <w:t>a.从水质上：</w:t>
            </w:r>
            <w:r>
              <w:rPr>
                <w:rFonts w:hint="eastAsia"/>
                <w:b w:val="0"/>
                <w:bCs w:val="0"/>
                <w:lang w:val="en-US" w:eastAsia="zh-CN"/>
              </w:rPr>
              <w:t>项目外排废水主要为生活污水，生活污水经园区内化粪池处理后，排入污水处理厂进行进一步的深度处理，在排入污水处理厂前生活污水水质可满足《污水综合排放标准》</w:t>
            </w:r>
            <w:r>
              <w:rPr>
                <w:rFonts w:hint="eastAsia"/>
                <w:lang w:val="zh-CN" w:eastAsia="zh-CN"/>
              </w:rPr>
              <w:t>（GB8978-1996）表4三级标准，其中氨氮、</w:t>
            </w:r>
            <w:r>
              <w:rPr>
                <w:rFonts w:hint="eastAsia"/>
                <w:lang w:val="en-US" w:eastAsia="zh-CN"/>
              </w:rPr>
              <w:t>TN、TP</w:t>
            </w:r>
            <w:r>
              <w:rPr>
                <w:rFonts w:hint="eastAsia"/>
                <w:lang w:val="zh-CN" w:eastAsia="zh-CN"/>
              </w:rPr>
              <w:t>可达《污水排入城镇下水道水质标准》（GB/T31962-2015）表1中的B级标准，</w:t>
            </w:r>
            <w:r>
              <w:rPr>
                <w:rFonts w:hint="eastAsia"/>
                <w:lang w:val="en-US" w:eastAsia="zh-CN"/>
              </w:rPr>
              <w:t>项目污水水质简单，经化粪池处理达标后不会对污水处理厂的处理工艺和正常运行造成影响。</w:t>
            </w:r>
          </w:p>
          <w:p w14:paraId="1218E79D">
            <w:pPr>
              <w:spacing w:line="360" w:lineRule="auto"/>
              <w:rPr>
                <w:rFonts w:hint="eastAsia" w:ascii="Times New Roman" w:hAnsi="Times New Roman" w:eastAsia="宋体" w:cs="Times New Roman"/>
                <w:color w:val="auto"/>
                <w:sz w:val="21"/>
                <w:szCs w:val="21"/>
                <w:lang w:val="en-US" w:eastAsia="zh-CN"/>
              </w:rPr>
            </w:pPr>
            <w:r>
              <w:rPr>
                <w:rFonts w:hint="eastAsia"/>
                <w:b/>
                <w:bCs/>
                <w:lang w:val="en-US" w:eastAsia="zh-CN"/>
              </w:rPr>
              <w:t>b.从水量上</w:t>
            </w:r>
            <w:r>
              <w:rPr>
                <w:rFonts w:hint="eastAsia"/>
                <w:lang w:val="en-US" w:eastAsia="zh-CN"/>
              </w:rPr>
              <w:t>：秀屿区港城污水处理厂先期设计日处理量为2万吨/天，</w:t>
            </w:r>
            <w:r>
              <w:rPr>
                <w:rFonts w:hint="eastAsia" w:ascii="Times New Roman" w:hAnsi="Times New Roman" w:eastAsia="宋体" w:cs="Times New Roman"/>
                <w:color w:val="auto"/>
                <w:sz w:val="21"/>
                <w:szCs w:val="21"/>
                <w:lang w:val="en-US" w:eastAsia="zh-CN"/>
              </w:rPr>
              <w:t>本项目总排水量为</w:t>
            </w:r>
            <w:r>
              <w:rPr>
                <w:rFonts w:hint="eastAsia" w:cs="Times New Roman"/>
                <w:color w:val="auto"/>
                <w:sz w:val="21"/>
                <w:szCs w:val="21"/>
                <w:lang w:val="en-US" w:eastAsia="zh-CN"/>
              </w:rPr>
              <w:t>4.8</w:t>
            </w:r>
            <w:r>
              <w:rPr>
                <w:rFonts w:hint="eastAsia" w:ascii="Times New Roman" w:hAnsi="Times New Roman" w:eastAsia="宋体" w:cs="Times New Roman"/>
                <w:color w:val="auto"/>
                <w:sz w:val="21"/>
                <w:szCs w:val="21"/>
                <w:lang w:val="en-US" w:eastAsia="zh-CN"/>
              </w:rPr>
              <w:t>t/d，</w:t>
            </w:r>
            <w:r>
              <w:rPr>
                <w:rFonts w:hint="eastAsia" w:cs="Times New Roman"/>
                <w:color w:val="auto"/>
                <w:sz w:val="21"/>
                <w:szCs w:val="21"/>
                <w:lang w:val="en-US" w:eastAsia="zh-CN"/>
              </w:rPr>
              <w:t>仅</w:t>
            </w:r>
            <w:r>
              <w:rPr>
                <w:rFonts w:hint="eastAsia" w:ascii="Times New Roman" w:hAnsi="Times New Roman" w:eastAsia="宋体" w:cs="Times New Roman"/>
                <w:color w:val="auto"/>
                <w:sz w:val="21"/>
                <w:szCs w:val="21"/>
                <w:lang w:val="en-US" w:eastAsia="zh-CN"/>
              </w:rPr>
              <w:t>占污水处理厂处理能力的0.0</w:t>
            </w:r>
            <w:r>
              <w:rPr>
                <w:rFonts w:hint="eastAsia" w:cs="Times New Roman"/>
                <w:color w:val="auto"/>
                <w:sz w:val="21"/>
                <w:szCs w:val="21"/>
                <w:lang w:val="en-US" w:eastAsia="zh-CN"/>
              </w:rPr>
              <w:t>24</w:t>
            </w:r>
            <w:r>
              <w:rPr>
                <w:rFonts w:hint="eastAsia" w:ascii="Times New Roman" w:hAnsi="Times New Roman" w:eastAsia="宋体" w:cs="Times New Roman"/>
                <w:color w:val="auto"/>
                <w:sz w:val="21"/>
                <w:szCs w:val="21"/>
                <w:lang w:val="en-US" w:eastAsia="zh-CN"/>
              </w:rPr>
              <w:t>%，因此，项目运营期生活废水纳入该污水处理厂处理不会额外增加污水处理厂的处理负荷。</w:t>
            </w:r>
          </w:p>
          <w:p w14:paraId="02158837">
            <w:pPr>
              <w:spacing w:line="360" w:lineRule="auto"/>
              <w:rPr>
                <w:rFonts w:hint="eastAsia"/>
                <w:b w:val="0"/>
                <w:bCs w:val="0"/>
                <w:color w:val="auto"/>
                <w:sz w:val="21"/>
                <w:szCs w:val="21"/>
                <w:lang w:val="en-US" w:eastAsia="zh-CN"/>
              </w:rPr>
            </w:pPr>
            <w:r>
              <w:rPr>
                <w:rFonts w:hint="eastAsia"/>
                <w:b/>
                <w:bCs/>
                <w:lang w:val="en-US" w:eastAsia="zh-CN"/>
              </w:rPr>
              <w:t>c.从管网衔接角度：</w:t>
            </w:r>
            <w:r>
              <w:rPr>
                <w:rFonts w:hint="eastAsia"/>
                <w:b w:val="0"/>
                <w:bCs w:val="0"/>
                <w:color w:val="auto"/>
                <w:lang w:val="en-US" w:eastAsia="zh-CN"/>
              </w:rPr>
              <w:t>项目位于秀屿区前沁村前沁1133号，处于秀屿区港城污水处理厂的服务范围内，且目前项目区域位置</w:t>
            </w:r>
            <w:r>
              <w:rPr>
                <w:rFonts w:hint="eastAsia"/>
                <w:b w:val="0"/>
                <w:bCs w:val="0"/>
                <w:color w:val="auto"/>
                <w:sz w:val="21"/>
                <w:szCs w:val="21"/>
              </w:rPr>
              <w:t>与污水厂之间的管网</w:t>
            </w:r>
            <w:r>
              <w:rPr>
                <w:rFonts w:hint="eastAsia"/>
                <w:b w:val="0"/>
                <w:bCs w:val="0"/>
                <w:color w:val="auto"/>
                <w:sz w:val="21"/>
                <w:szCs w:val="21"/>
                <w:lang w:eastAsia="zh-CN"/>
              </w:rPr>
              <w:t>已</w:t>
            </w:r>
            <w:r>
              <w:rPr>
                <w:rFonts w:hint="eastAsia"/>
                <w:b w:val="0"/>
                <w:bCs w:val="0"/>
                <w:color w:val="auto"/>
                <w:sz w:val="21"/>
                <w:szCs w:val="21"/>
              </w:rPr>
              <w:t>建成，本项目建</w:t>
            </w:r>
            <w:r>
              <w:rPr>
                <w:rFonts w:hint="eastAsia"/>
                <w:b w:val="0"/>
                <w:bCs w:val="0"/>
                <w:color w:val="auto"/>
                <w:sz w:val="21"/>
                <w:szCs w:val="21"/>
                <w:lang w:eastAsia="zh-CN"/>
              </w:rPr>
              <w:t>成</w:t>
            </w:r>
            <w:r>
              <w:rPr>
                <w:rFonts w:hint="eastAsia"/>
                <w:b w:val="0"/>
                <w:bCs w:val="0"/>
                <w:color w:val="auto"/>
                <w:sz w:val="21"/>
                <w:szCs w:val="21"/>
              </w:rPr>
              <w:t>后，</w:t>
            </w:r>
            <w:r>
              <w:rPr>
                <w:rFonts w:hint="eastAsia"/>
                <w:b w:val="0"/>
                <w:bCs w:val="0"/>
                <w:color w:val="auto"/>
                <w:sz w:val="21"/>
                <w:szCs w:val="21"/>
                <w:lang w:val="en-US" w:eastAsia="zh-CN"/>
              </w:rPr>
              <w:t>废水排入市政污水管网，利用市政污水管网排入</w:t>
            </w:r>
            <w:r>
              <w:rPr>
                <w:rFonts w:hint="eastAsia"/>
                <w:b w:val="0"/>
                <w:bCs w:val="0"/>
                <w:color w:val="auto"/>
                <w:sz w:val="21"/>
                <w:szCs w:val="21"/>
                <w:lang w:eastAsia="zh-CN"/>
              </w:rPr>
              <w:t>莆田市</w:t>
            </w:r>
            <w:r>
              <w:rPr>
                <w:rFonts w:hint="eastAsia"/>
                <w:b w:val="0"/>
                <w:bCs w:val="0"/>
                <w:color w:val="auto"/>
                <w:sz w:val="21"/>
                <w:szCs w:val="21"/>
                <w:lang w:val="en-US" w:eastAsia="zh-CN"/>
              </w:rPr>
              <w:t>秀屿区港城污水处理厂。</w:t>
            </w:r>
          </w:p>
          <w:p w14:paraId="063616A7">
            <w:pPr>
              <w:pStyle w:val="25"/>
              <w:keepLines/>
              <w:widowControl w:val="0"/>
              <w:wordWrap/>
              <w:adjustRightInd/>
              <w:snapToGrid/>
              <w:spacing w:after="0" w:line="360" w:lineRule="auto"/>
              <w:ind w:left="0" w:leftChars="0" w:firstLine="420" w:firstLineChars="200"/>
              <w:jc w:val="both"/>
              <w:textAlignment w:val="auto"/>
              <w:rPr>
                <w:rFonts w:hint="eastAsia" w:eastAsia="宋体"/>
                <w:color w:val="auto"/>
                <w:sz w:val="21"/>
                <w:szCs w:val="21"/>
                <w:lang w:val="en-US" w:eastAsia="zh-CN"/>
              </w:rPr>
            </w:pPr>
            <w:r>
              <w:rPr>
                <w:rFonts w:hint="eastAsia"/>
                <w:color w:val="auto"/>
                <w:sz w:val="21"/>
                <w:szCs w:val="21"/>
                <w:lang w:val="en-US" w:eastAsia="zh-CN"/>
              </w:rPr>
              <w:t>综上所述，</w:t>
            </w:r>
            <w:r>
              <w:rPr>
                <w:rFonts w:hint="default" w:ascii="Times New Roman" w:hAnsi="Times New Roman" w:eastAsia="宋体" w:cs="Times New Roman"/>
                <w:color w:val="auto"/>
                <w:sz w:val="21"/>
                <w:szCs w:val="21"/>
              </w:rPr>
              <w:t>从本项目</w:t>
            </w:r>
            <w:r>
              <w:rPr>
                <w:rFonts w:hint="eastAsia" w:cs="Times New Roman"/>
                <w:color w:val="auto"/>
                <w:sz w:val="21"/>
                <w:szCs w:val="21"/>
                <w:lang w:val="en-US" w:eastAsia="zh-CN"/>
              </w:rPr>
              <w:t>废水水</w:t>
            </w:r>
            <w:r>
              <w:rPr>
                <w:rFonts w:hint="default" w:ascii="Times New Roman" w:hAnsi="Times New Roman" w:eastAsia="宋体" w:cs="Times New Roman"/>
                <w:color w:val="auto"/>
                <w:sz w:val="21"/>
                <w:szCs w:val="21"/>
              </w:rPr>
              <w:t>量及水质来看，</w:t>
            </w:r>
            <w:r>
              <w:rPr>
                <w:rFonts w:hint="default" w:ascii="Times New Roman" w:hAnsi="Times New Roman" w:eastAsia="宋体" w:cs="Times New Roman"/>
                <w:color w:val="auto"/>
                <w:sz w:val="21"/>
                <w:szCs w:val="21"/>
                <w:lang w:eastAsia="zh-CN"/>
              </w:rPr>
              <w:t>莆田市</w:t>
            </w:r>
            <w:r>
              <w:rPr>
                <w:rFonts w:hint="eastAsia" w:cs="Times New Roman"/>
                <w:color w:val="auto"/>
                <w:sz w:val="21"/>
                <w:szCs w:val="21"/>
                <w:lang w:val="en-US" w:eastAsia="zh-CN"/>
              </w:rPr>
              <w:t>秀屿区港城</w:t>
            </w:r>
            <w:r>
              <w:rPr>
                <w:rFonts w:hint="default" w:ascii="Times New Roman" w:hAnsi="Times New Roman" w:eastAsia="宋体" w:cs="Times New Roman"/>
                <w:color w:val="auto"/>
                <w:sz w:val="21"/>
                <w:szCs w:val="21"/>
                <w:lang w:eastAsia="zh-CN"/>
              </w:rPr>
              <w:t>污水处理厂</w:t>
            </w:r>
            <w:r>
              <w:rPr>
                <w:rFonts w:hint="default" w:ascii="Times New Roman" w:hAnsi="Times New Roman" w:eastAsia="宋体" w:cs="Times New Roman"/>
                <w:color w:val="auto"/>
                <w:sz w:val="21"/>
                <w:szCs w:val="21"/>
              </w:rPr>
              <w:t>完全可接纳本项目</w:t>
            </w:r>
            <w:r>
              <w:rPr>
                <w:rFonts w:hint="eastAsia" w:cs="Times New Roman"/>
                <w:color w:val="auto"/>
                <w:sz w:val="21"/>
                <w:szCs w:val="21"/>
                <w:lang w:val="en-US" w:eastAsia="zh-CN"/>
              </w:rPr>
              <w:t>污水</w:t>
            </w: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污水</w:t>
            </w:r>
            <w:r>
              <w:rPr>
                <w:rFonts w:hint="default" w:ascii="Times New Roman" w:hAnsi="Times New Roman" w:eastAsia="宋体" w:cs="Times New Roman"/>
                <w:color w:val="auto"/>
                <w:sz w:val="21"/>
                <w:szCs w:val="21"/>
              </w:rPr>
              <w:t>排放不影响污水</w:t>
            </w:r>
            <w:r>
              <w:rPr>
                <w:rFonts w:hint="eastAsia" w:cs="Times New Roman"/>
                <w:color w:val="auto"/>
                <w:sz w:val="21"/>
                <w:szCs w:val="21"/>
                <w:lang w:val="en-US" w:eastAsia="zh-CN"/>
              </w:rPr>
              <w:t>处理</w:t>
            </w:r>
            <w:r>
              <w:rPr>
                <w:rFonts w:hint="default" w:ascii="Times New Roman" w:hAnsi="Times New Roman" w:eastAsia="宋体" w:cs="Times New Roman"/>
                <w:color w:val="auto"/>
                <w:sz w:val="21"/>
                <w:szCs w:val="21"/>
              </w:rPr>
              <w:t>厂正常运行。</w:t>
            </w:r>
            <w:r>
              <w:rPr>
                <w:rFonts w:hint="default" w:ascii="Times New Roman" w:hAnsi="Times New Roman" w:eastAsia="宋体" w:cs="Times New Roman"/>
                <w:color w:val="auto"/>
                <w:sz w:val="21"/>
                <w:szCs w:val="21"/>
                <w:lang w:val="en-US" w:eastAsia="zh-CN"/>
              </w:rPr>
              <w:t>因此</w:t>
            </w:r>
            <w:r>
              <w:rPr>
                <w:rFonts w:hint="default" w:ascii="Times New Roman" w:hAnsi="Times New Roman" w:eastAsia="宋体" w:cs="Times New Roman"/>
                <w:kern w:val="2"/>
                <w:sz w:val="21"/>
                <w:szCs w:val="21"/>
                <w:lang w:val="en-US" w:eastAsia="zh-CN" w:bidi="ar-SA"/>
              </w:rPr>
              <w:t>项目运营期产生</w:t>
            </w:r>
            <w:r>
              <w:rPr>
                <w:rFonts w:hint="eastAsia" w:cs="Times New Roman"/>
                <w:kern w:val="2"/>
                <w:sz w:val="21"/>
                <w:szCs w:val="21"/>
                <w:lang w:val="en-US" w:eastAsia="zh-CN" w:bidi="ar-SA"/>
              </w:rPr>
              <w:t>综合废水</w:t>
            </w:r>
            <w:r>
              <w:rPr>
                <w:rFonts w:hint="default" w:ascii="Times New Roman" w:hAnsi="Times New Roman" w:eastAsia="宋体" w:cs="Times New Roman"/>
                <w:kern w:val="2"/>
                <w:sz w:val="21"/>
                <w:szCs w:val="21"/>
                <w:lang w:val="en-US" w:eastAsia="zh-CN" w:bidi="ar-SA"/>
              </w:rPr>
              <w:t>通过</w:t>
            </w:r>
            <w:r>
              <w:rPr>
                <w:rFonts w:hint="default" w:ascii="Times New Roman" w:hAnsi="Times New Roman" w:eastAsia="宋体" w:cs="Times New Roman"/>
                <w:color w:val="auto"/>
                <w:sz w:val="21"/>
                <w:szCs w:val="21"/>
              </w:rPr>
              <w:t>周边污水管网纳入</w:t>
            </w:r>
            <w:r>
              <w:rPr>
                <w:rFonts w:hint="default" w:ascii="Times New Roman" w:hAnsi="Times New Roman" w:eastAsia="宋体" w:cs="Times New Roman"/>
                <w:color w:val="auto"/>
                <w:sz w:val="21"/>
                <w:szCs w:val="21"/>
                <w:lang w:eastAsia="zh-CN"/>
              </w:rPr>
              <w:t>莆田市</w:t>
            </w:r>
            <w:r>
              <w:rPr>
                <w:rFonts w:hint="eastAsia" w:cs="Times New Roman"/>
                <w:color w:val="auto"/>
                <w:sz w:val="21"/>
                <w:szCs w:val="21"/>
                <w:lang w:val="en-US" w:eastAsia="zh-CN"/>
              </w:rPr>
              <w:t>秀屿区港城</w:t>
            </w:r>
            <w:r>
              <w:rPr>
                <w:rFonts w:hint="default" w:ascii="Times New Roman" w:hAnsi="Times New Roman" w:eastAsia="宋体" w:cs="Times New Roman"/>
                <w:color w:val="auto"/>
                <w:sz w:val="21"/>
                <w:szCs w:val="21"/>
                <w:lang w:eastAsia="zh-CN"/>
              </w:rPr>
              <w:t>污水处理厂</w:t>
            </w:r>
            <w:r>
              <w:rPr>
                <w:rFonts w:hint="default" w:ascii="Times New Roman" w:hAnsi="Times New Roman" w:eastAsia="宋体" w:cs="Times New Roman"/>
                <w:color w:val="auto"/>
                <w:sz w:val="21"/>
                <w:szCs w:val="21"/>
              </w:rPr>
              <w:t>集中处理是完全可行的。</w:t>
            </w:r>
          </w:p>
          <w:p w14:paraId="6FEDDF94">
            <w:pPr>
              <w:spacing w:line="360" w:lineRule="auto"/>
              <w:ind w:firstLine="422" w:firstLineChars="200"/>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处理工艺</w:t>
            </w:r>
          </w:p>
          <w:p w14:paraId="6F614107">
            <w:pPr>
              <w:spacing w:line="360" w:lineRule="auto"/>
              <w:ind w:firstLine="420" w:firstLineChars="200"/>
              <w:rPr>
                <w:rFonts w:hint="eastAsia" w:ascii="Times New Roman" w:hAnsi="Times New Roman" w:eastAsia="宋体" w:cs="Times New Roman"/>
                <w:color w:val="auto"/>
                <w:sz w:val="21"/>
                <w:szCs w:val="21"/>
                <w:lang w:val="en-US" w:eastAsia="zh-CN"/>
              </w:rPr>
            </w:pPr>
            <w:r>
              <w:rPr>
                <w:rFonts w:ascii="Times New Roman" w:hAnsi="Times New Roman" w:eastAsia="宋体"/>
                <w:bCs/>
                <w:color w:val="auto"/>
                <w:sz w:val="21"/>
                <w:szCs w:val="21"/>
              </w:rPr>
              <w:t>项目废水为员工生活污水，</w:t>
            </w:r>
            <w:r>
              <w:rPr>
                <w:rFonts w:hint="eastAsia" w:ascii="Times New Roman" w:hAnsi="Times New Roman" w:eastAsia="宋体"/>
                <w:bCs/>
                <w:color w:val="auto"/>
                <w:sz w:val="21"/>
                <w:szCs w:val="21"/>
              </w:rPr>
              <w:t>生活污水</w:t>
            </w:r>
            <w:r>
              <w:rPr>
                <w:rFonts w:ascii="Times New Roman" w:hAnsi="Times New Roman" w:eastAsia="宋体"/>
                <w:bCs/>
                <w:color w:val="auto"/>
                <w:sz w:val="21"/>
                <w:szCs w:val="21"/>
              </w:rPr>
              <w:t>采用化粪池处理，三级化粪池化粪工作原理：</w:t>
            </w:r>
            <w:r>
              <w:rPr>
                <w:rFonts w:hint="eastAsia" w:ascii="Times New Roman" w:hAnsi="Times New Roman" w:eastAsia="宋体" w:cs="Times New Roman"/>
                <w:color w:val="auto"/>
                <w:sz w:val="21"/>
                <w:szCs w:val="21"/>
                <w:lang w:val="en-US" w:eastAsia="zh-CN"/>
              </w:rPr>
              <w:t>三级化粪池由相联的三个池子组成，中间由过粪管联通，主要是利用厌氧发酵、中层过粪和寄生虫卵比重大于一般混合液比重而易于沉淀的原理，粪便在池内经过30天以上的发酵分解，中层粪液依次由1池流至3池，以达到沉淀或杀灭粪便中寄生虫卵和肠道致病菌的目的。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1B46C690">
            <w:pPr>
              <w:pStyle w:val="42"/>
              <w:adjustRightInd w:val="0"/>
              <w:snapToGrid w:val="0"/>
              <w:ind w:firstLine="420"/>
              <w:jc w:val="both"/>
              <w:rPr>
                <w:rFonts w:ascii="Times New Roman" w:hAnsi="Times New Roman" w:eastAsia="宋体"/>
                <w:b/>
                <w:bCs/>
                <w:color w:val="auto"/>
                <w:sz w:val="21"/>
                <w:szCs w:val="21"/>
              </w:rPr>
            </w:pPr>
            <w:r>
              <w:rPr>
                <w:rFonts w:ascii="Times New Roman" w:hAnsi="Times New Roman" w:eastAsia="宋体"/>
                <w:b/>
                <w:bCs/>
                <w:color w:val="auto"/>
                <w:sz w:val="21"/>
                <w:szCs w:val="21"/>
              </w:rPr>
              <w:t>（3）设计进出水水质</w:t>
            </w:r>
          </w:p>
          <w:p w14:paraId="6D7C4555">
            <w:pPr>
              <w:pStyle w:val="42"/>
              <w:adjustRightInd w:val="0"/>
              <w:snapToGrid w:val="0"/>
              <w:ind w:firstLine="42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lang w:eastAsia="zh-CN"/>
              </w:rPr>
              <w:t>港城</w:t>
            </w:r>
            <w:r>
              <w:rPr>
                <w:rFonts w:hint="default" w:ascii="Times New Roman" w:hAnsi="Times New Roman" w:eastAsia="宋体" w:cs="Times New Roman"/>
                <w:bCs/>
                <w:color w:val="auto"/>
                <w:sz w:val="21"/>
                <w:szCs w:val="21"/>
              </w:rPr>
              <w:t>污水处理厂出水水质执行《城镇污水处理厂污染物排放标准》（GB18918-2002）一级A标准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具体出水水质要求见下表</w:t>
            </w:r>
            <w:r>
              <w:rPr>
                <w:rFonts w:hint="default" w:ascii="Times New Roman" w:hAnsi="Times New Roman" w:cs="Times New Roman"/>
                <w:bCs/>
                <w:color w:val="auto"/>
                <w:sz w:val="21"/>
                <w:szCs w:val="21"/>
                <w:lang w:val="en-US" w:eastAsia="zh-CN"/>
              </w:rPr>
              <w:t>4-</w:t>
            </w:r>
            <w:r>
              <w:rPr>
                <w:rFonts w:hint="eastAsia" w:ascii="Times New Roman" w:hAnsi="Times New Roman" w:cs="Times New Roman"/>
                <w:bCs/>
                <w:color w:val="auto"/>
                <w:sz w:val="21"/>
                <w:szCs w:val="21"/>
                <w:lang w:val="en-US" w:eastAsia="zh-CN"/>
              </w:rPr>
              <w:t>10。</w:t>
            </w:r>
          </w:p>
          <w:p w14:paraId="23765C30">
            <w:pPr>
              <w:pStyle w:val="42"/>
              <w:widowControl w:val="0"/>
              <w:wordWrap/>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 xml:space="preserve">10  </w:t>
            </w:r>
            <w:r>
              <w:rPr>
                <w:rFonts w:hint="default" w:ascii="Times New Roman" w:hAnsi="Times New Roman" w:eastAsia="宋体" w:cs="Times New Roman"/>
                <w:b/>
                <w:bCs/>
                <w:sz w:val="21"/>
                <w:szCs w:val="21"/>
                <w:lang w:val="en-US" w:eastAsia="zh-CN"/>
              </w:rPr>
              <w:t>港城污水处理厂进出水水质要求</w:t>
            </w:r>
          </w:p>
          <w:tbl>
            <w:tblPr>
              <w:tblStyle w:val="17"/>
              <w:tblW w:w="8215" w:type="dxa"/>
              <w:jc w:val="center"/>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
            <w:tblGrid>
              <w:gridCol w:w="1254"/>
              <w:gridCol w:w="763"/>
              <w:gridCol w:w="916"/>
              <w:gridCol w:w="920"/>
              <w:gridCol w:w="916"/>
              <w:gridCol w:w="761"/>
              <w:gridCol w:w="724"/>
              <w:gridCol w:w="920"/>
              <w:gridCol w:w="1041"/>
            </w:tblGrid>
            <w:tr w14:paraId="4272FE36">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445" w:hRule="atLeast"/>
                <w:tblHeader/>
                <w:jc w:val="center"/>
              </w:trPr>
              <w:tc>
                <w:tcPr>
                  <w:tcW w:w="1254" w:type="dxa"/>
                  <w:tcBorders>
                    <w:tl2br w:val="nil"/>
                    <w:tr2bl w:val="nil"/>
                  </w:tcBorders>
                  <w:vAlign w:val="center"/>
                </w:tcPr>
                <w:p w14:paraId="14711BDF">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类别</w:t>
                  </w:r>
                </w:p>
              </w:tc>
              <w:tc>
                <w:tcPr>
                  <w:tcW w:w="763" w:type="dxa"/>
                  <w:tcBorders>
                    <w:tl2br w:val="nil"/>
                    <w:tr2bl w:val="nil"/>
                  </w:tcBorders>
                  <w:vAlign w:val="center"/>
                </w:tcPr>
                <w:p w14:paraId="6891EDFD">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单位</w:t>
                  </w:r>
                </w:p>
              </w:tc>
              <w:tc>
                <w:tcPr>
                  <w:tcW w:w="916" w:type="dxa"/>
                  <w:tcBorders>
                    <w:tl2br w:val="nil"/>
                    <w:tr2bl w:val="nil"/>
                  </w:tcBorders>
                  <w:vAlign w:val="center"/>
                </w:tcPr>
                <w:p w14:paraId="38F4A03D">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pH</w:t>
                  </w:r>
                </w:p>
              </w:tc>
              <w:tc>
                <w:tcPr>
                  <w:tcW w:w="920" w:type="dxa"/>
                  <w:tcBorders>
                    <w:tl2br w:val="nil"/>
                    <w:tr2bl w:val="nil"/>
                  </w:tcBorders>
                  <w:vAlign w:val="center"/>
                </w:tcPr>
                <w:p w14:paraId="26A7A403">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COD</w:t>
                  </w:r>
                </w:p>
              </w:tc>
              <w:tc>
                <w:tcPr>
                  <w:tcW w:w="916" w:type="dxa"/>
                  <w:tcBorders>
                    <w:tl2br w:val="nil"/>
                    <w:tr2bl w:val="nil"/>
                  </w:tcBorders>
                  <w:vAlign w:val="center"/>
                </w:tcPr>
                <w:p w14:paraId="07F05CA7">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BOD</w:t>
                  </w:r>
                  <w:r>
                    <w:rPr>
                      <w:rFonts w:hint="default" w:ascii="Times New Roman" w:hAnsi="Times New Roman" w:eastAsia="宋体" w:cs="Times New Roman"/>
                      <w:b/>
                      <w:bCs/>
                      <w:sz w:val="18"/>
                      <w:szCs w:val="18"/>
                      <w:vertAlign w:val="subscript"/>
                    </w:rPr>
                    <w:t>5</w:t>
                  </w:r>
                </w:p>
              </w:tc>
              <w:tc>
                <w:tcPr>
                  <w:tcW w:w="761" w:type="dxa"/>
                  <w:tcBorders>
                    <w:tl2br w:val="nil"/>
                    <w:tr2bl w:val="nil"/>
                  </w:tcBorders>
                  <w:vAlign w:val="center"/>
                </w:tcPr>
                <w:p w14:paraId="3743F3B1">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SS</w:t>
                  </w:r>
                </w:p>
              </w:tc>
              <w:tc>
                <w:tcPr>
                  <w:tcW w:w="724" w:type="dxa"/>
                  <w:tcBorders>
                    <w:tl2br w:val="nil"/>
                    <w:tr2bl w:val="nil"/>
                  </w:tcBorders>
                  <w:vAlign w:val="center"/>
                </w:tcPr>
                <w:p w14:paraId="14C697F8">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氨氮</w:t>
                  </w:r>
                </w:p>
              </w:tc>
              <w:tc>
                <w:tcPr>
                  <w:tcW w:w="920" w:type="dxa"/>
                  <w:tcBorders>
                    <w:tl2br w:val="nil"/>
                    <w:tr2bl w:val="nil"/>
                  </w:tcBorders>
                  <w:vAlign w:val="center"/>
                </w:tcPr>
                <w:p w14:paraId="678C84D3">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总磷</w:t>
                  </w:r>
                </w:p>
              </w:tc>
              <w:tc>
                <w:tcPr>
                  <w:tcW w:w="1041" w:type="dxa"/>
                  <w:tcBorders>
                    <w:tl2br w:val="nil"/>
                    <w:tr2bl w:val="nil"/>
                  </w:tcBorders>
                  <w:vAlign w:val="center"/>
                </w:tcPr>
                <w:p w14:paraId="59CEB1BA">
                  <w:pPr>
                    <w:pStyle w:val="24"/>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总氮</w:t>
                  </w:r>
                </w:p>
              </w:tc>
            </w:tr>
            <w:tr w14:paraId="5D2E328B">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449" w:hRule="atLeast"/>
                <w:jc w:val="center"/>
              </w:trPr>
              <w:tc>
                <w:tcPr>
                  <w:tcW w:w="1254" w:type="dxa"/>
                  <w:tcBorders>
                    <w:tl2br w:val="nil"/>
                    <w:tr2bl w:val="nil"/>
                  </w:tcBorders>
                  <w:vAlign w:val="center"/>
                </w:tcPr>
                <w:p w14:paraId="4088A564">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进水水质</w:t>
                  </w:r>
                </w:p>
              </w:tc>
              <w:tc>
                <w:tcPr>
                  <w:tcW w:w="763" w:type="dxa"/>
                  <w:tcBorders>
                    <w:tl2br w:val="nil"/>
                    <w:tr2bl w:val="nil"/>
                  </w:tcBorders>
                  <w:vAlign w:val="center"/>
                </w:tcPr>
                <w:p w14:paraId="05155B36">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916" w:type="dxa"/>
                  <w:tcBorders>
                    <w:tl2br w:val="nil"/>
                    <w:tr2bl w:val="nil"/>
                  </w:tcBorders>
                  <w:vAlign w:val="center"/>
                </w:tcPr>
                <w:p w14:paraId="07B0D594">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6～9</w:t>
                  </w:r>
                </w:p>
              </w:tc>
              <w:tc>
                <w:tcPr>
                  <w:tcW w:w="920" w:type="dxa"/>
                  <w:tcBorders>
                    <w:tl2br w:val="nil"/>
                    <w:tr2bl w:val="nil"/>
                  </w:tcBorders>
                  <w:vAlign w:val="center"/>
                </w:tcPr>
                <w:p w14:paraId="7D362EE4">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500</w:t>
                  </w:r>
                </w:p>
              </w:tc>
              <w:tc>
                <w:tcPr>
                  <w:tcW w:w="916" w:type="dxa"/>
                  <w:tcBorders>
                    <w:tl2br w:val="nil"/>
                    <w:tr2bl w:val="nil"/>
                  </w:tcBorders>
                  <w:vAlign w:val="center"/>
                </w:tcPr>
                <w:p w14:paraId="65DAFA30">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300</w:t>
                  </w:r>
                </w:p>
              </w:tc>
              <w:tc>
                <w:tcPr>
                  <w:tcW w:w="761" w:type="dxa"/>
                  <w:tcBorders>
                    <w:tl2br w:val="nil"/>
                    <w:tr2bl w:val="nil"/>
                  </w:tcBorders>
                  <w:vAlign w:val="center"/>
                </w:tcPr>
                <w:p w14:paraId="2E0CAC0F">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400</w:t>
                  </w:r>
                </w:p>
              </w:tc>
              <w:tc>
                <w:tcPr>
                  <w:tcW w:w="724" w:type="dxa"/>
                  <w:tcBorders>
                    <w:tl2br w:val="nil"/>
                    <w:tr2bl w:val="nil"/>
                  </w:tcBorders>
                  <w:vAlign w:val="center"/>
                </w:tcPr>
                <w:p w14:paraId="2B36EE68">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w:t>
                  </w:r>
                </w:p>
              </w:tc>
              <w:tc>
                <w:tcPr>
                  <w:tcW w:w="920" w:type="dxa"/>
                  <w:tcBorders>
                    <w:tl2br w:val="nil"/>
                    <w:tr2bl w:val="nil"/>
                  </w:tcBorders>
                  <w:vAlign w:val="center"/>
                </w:tcPr>
                <w:p w14:paraId="63C39581">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1041" w:type="dxa"/>
                  <w:tcBorders>
                    <w:tl2br w:val="nil"/>
                    <w:tr2bl w:val="nil"/>
                  </w:tcBorders>
                  <w:vAlign w:val="center"/>
                </w:tcPr>
                <w:p w14:paraId="5984D87D">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r>
            <w:tr w14:paraId="35A5DE99">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505" w:hRule="atLeast"/>
                <w:jc w:val="center"/>
              </w:trPr>
              <w:tc>
                <w:tcPr>
                  <w:tcW w:w="1254" w:type="dxa"/>
                  <w:tcBorders>
                    <w:tl2br w:val="nil"/>
                    <w:tr2bl w:val="nil"/>
                  </w:tcBorders>
                  <w:vAlign w:val="center"/>
                </w:tcPr>
                <w:p w14:paraId="47F8257E">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出水水质</w:t>
                  </w:r>
                </w:p>
              </w:tc>
              <w:tc>
                <w:tcPr>
                  <w:tcW w:w="763" w:type="dxa"/>
                  <w:tcBorders>
                    <w:tl2br w:val="nil"/>
                    <w:tr2bl w:val="nil"/>
                  </w:tcBorders>
                  <w:vAlign w:val="center"/>
                </w:tcPr>
                <w:p w14:paraId="405A2118">
                  <w:pPr>
                    <w:pStyle w:val="24"/>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mg/L</w:t>
                  </w:r>
                </w:p>
              </w:tc>
              <w:tc>
                <w:tcPr>
                  <w:tcW w:w="916" w:type="dxa"/>
                  <w:tcBorders>
                    <w:tl2br w:val="nil"/>
                    <w:tr2bl w:val="nil"/>
                  </w:tcBorders>
                  <w:vAlign w:val="center"/>
                </w:tcPr>
                <w:p w14:paraId="0F8494E0">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6～9</w:t>
                  </w:r>
                </w:p>
              </w:tc>
              <w:tc>
                <w:tcPr>
                  <w:tcW w:w="920" w:type="dxa"/>
                  <w:tcBorders>
                    <w:tl2br w:val="nil"/>
                    <w:tr2bl w:val="nil"/>
                  </w:tcBorders>
                  <w:vAlign w:val="center"/>
                </w:tcPr>
                <w:p w14:paraId="13C1E56C">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w:t>
                  </w:r>
                </w:p>
              </w:tc>
              <w:tc>
                <w:tcPr>
                  <w:tcW w:w="916" w:type="dxa"/>
                  <w:tcBorders>
                    <w:tl2br w:val="nil"/>
                    <w:tr2bl w:val="nil"/>
                  </w:tcBorders>
                  <w:vAlign w:val="center"/>
                </w:tcPr>
                <w:p w14:paraId="4A040695">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w:t>
                  </w:r>
                </w:p>
              </w:tc>
              <w:tc>
                <w:tcPr>
                  <w:tcW w:w="761" w:type="dxa"/>
                  <w:tcBorders>
                    <w:tl2br w:val="nil"/>
                    <w:tr2bl w:val="nil"/>
                  </w:tcBorders>
                  <w:vAlign w:val="center"/>
                </w:tcPr>
                <w:p w14:paraId="5032587D">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w:t>
                  </w:r>
                </w:p>
              </w:tc>
              <w:tc>
                <w:tcPr>
                  <w:tcW w:w="724" w:type="dxa"/>
                  <w:tcBorders>
                    <w:tl2br w:val="nil"/>
                    <w:tr2bl w:val="nil"/>
                  </w:tcBorders>
                  <w:vAlign w:val="center"/>
                </w:tcPr>
                <w:p w14:paraId="52953B3A">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c>
                <w:tcPr>
                  <w:tcW w:w="920" w:type="dxa"/>
                  <w:tcBorders>
                    <w:tl2br w:val="nil"/>
                    <w:tr2bl w:val="nil"/>
                  </w:tcBorders>
                  <w:vAlign w:val="center"/>
                </w:tcPr>
                <w:p w14:paraId="34D5BD4A">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0.5</w:t>
                  </w:r>
                </w:p>
              </w:tc>
              <w:tc>
                <w:tcPr>
                  <w:tcW w:w="1041" w:type="dxa"/>
                  <w:tcBorders>
                    <w:tl2br w:val="nil"/>
                    <w:tr2bl w:val="nil"/>
                  </w:tcBorders>
                  <w:vAlign w:val="center"/>
                </w:tcPr>
                <w:p w14:paraId="7E177A45">
                  <w:pPr>
                    <w:pStyle w:val="24"/>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w:t>
                  </w:r>
                </w:p>
              </w:tc>
            </w:tr>
          </w:tbl>
          <w:p w14:paraId="6CBD052F">
            <w:pPr>
              <w:spacing w:line="360" w:lineRule="auto"/>
              <w:ind w:firstLine="422" w:firstLineChars="200"/>
              <w:rPr>
                <w:rFonts w:hint="eastAsia" w:ascii="Times New Roman" w:hAnsi="Times New Roman" w:eastAsia="宋体" w:cs="Times New Roman"/>
                <w:b/>
                <w:bCs/>
                <w:color w:val="auto"/>
                <w:sz w:val="24"/>
                <w:szCs w:val="24"/>
                <w:lang w:val="en-US" w:eastAsia="zh-CN"/>
              </w:rPr>
            </w:pPr>
            <w:r>
              <w:rPr>
                <w:rFonts w:hint="eastAsia"/>
                <w:b/>
                <w:bCs/>
                <w:lang w:val="en-US" w:eastAsia="zh-CN"/>
              </w:rPr>
              <w:t>（4）可行性分析</w:t>
            </w:r>
          </w:p>
          <w:p w14:paraId="3643B3DD">
            <w:pPr>
              <w:spacing w:line="360" w:lineRule="auto"/>
              <w:ind w:firstLine="420" w:firstLineChars="200"/>
              <w:rPr>
                <w:rFonts w:hint="eastAsia" w:ascii="Times New Roman" w:hAnsi="Times New Roman" w:eastAsia="宋体" w:cs="Times New Roman"/>
                <w:color w:val="auto"/>
                <w:sz w:val="21"/>
                <w:szCs w:val="21"/>
                <w:lang w:val="en-US" w:eastAsia="zh-CN"/>
              </w:rPr>
            </w:pPr>
            <w:r>
              <w:rPr>
                <w:rFonts w:ascii="Times New Roman" w:hAnsi="Times New Roman" w:eastAsia="宋体"/>
                <w:color w:val="auto"/>
                <w:sz w:val="21"/>
                <w:szCs w:val="21"/>
              </w:rPr>
              <w:t>项目位于</w:t>
            </w:r>
            <w:r>
              <w:rPr>
                <w:rFonts w:hint="eastAsia" w:ascii="Times New Roman" w:hAnsi="Times New Roman" w:eastAsia="宋体"/>
                <w:color w:val="auto"/>
                <w:sz w:val="21"/>
                <w:szCs w:val="21"/>
                <w:lang w:eastAsia="zh-CN"/>
              </w:rPr>
              <w:t>秀屿区港城</w:t>
            </w:r>
            <w:r>
              <w:rPr>
                <w:rFonts w:ascii="Times New Roman" w:hAnsi="Times New Roman" w:eastAsia="宋体"/>
                <w:color w:val="auto"/>
                <w:sz w:val="21"/>
                <w:szCs w:val="21"/>
              </w:rPr>
              <w:t>污水处理厂服务范围内，</w:t>
            </w:r>
            <w:r>
              <w:rPr>
                <w:rFonts w:hint="eastAsia" w:ascii="Times New Roman" w:hAnsi="Times New Roman" w:eastAsia="宋体"/>
                <w:color w:val="auto"/>
                <w:sz w:val="21"/>
                <w:szCs w:val="21"/>
                <w:lang w:eastAsia="zh-CN"/>
              </w:rPr>
              <w:t>港城</w:t>
            </w:r>
            <w:r>
              <w:rPr>
                <w:rFonts w:ascii="Times New Roman" w:hAnsi="Times New Roman" w:eastAsia="宋体"/>
                <w:color w:val="auto"/>
                <w:sz w:val="21"/>
                <w:szCs w:val="21"/>
              </w:rPr>
              <w:t>污水处理厂剩余处理能力</w:t>
            </w:r>
            <w:r>
              <w:rPr>
                <w:rFonts w:hint="eastAsia" w:ascii="Times New Roman" w:hAnsi="Times New Roman" w:eastAsia="宋体"/>
                <w:color w:val="auto"/>
                <w:sz w:val="21"/>
                <w:szCs w:val="21"/>
                <w:lang w:eastAsia="zh-CN"/>
              </w:rPr>
              <w:t>有</w:t>
            </w:r>
            <w:r>
              <w:rPr>
                <w:rFonts w:ascii="Times New Roman" w:hAnsi="Times New Roman" w:eastAsia="宋体"/>
                <w:color w:val="auto"/>
                <w:sz w:val="21"/>
                <w:szCs w:val="21"/>
              </w:rPr>
              <w:t>足够</w:t>
            </w:r>
            <w:r>
              <w:rPr>
                <w:rFonts w:hint="eastAsia" w:ascii="Times New Roman" w:hAnsi="Times New Roman" w:eastAsia="宋体"/>
                <w:color w:val="auto"/>
                <w:sz w:val="21"/>
                <w:szCs w:val="21"/>
                <w:lang w:eastAsia="zh-CN"/>
              </w:rPr>
              <w:t>的</w:t>
            </w:r>
            <w:r>
              <w:rPr>
                <w:rFonts w:ascii="Times New Roman" w:hAnsi="Times New Roman" w:eastAsia="宋体"/>
                <w:color w:val="auto"/>
                <w:sz w:val="21"/>
                <w:szCs w:val="21"/>
              </w:rPr>
              <w:t>容量接纳新增</w:t>
            </w:r>
            <w:r>
              <w:rPr>
                <w:rFonts w:hint="eastAsia" w:ascii="Times New Roman" w:hAnsi="Times New Roman" w:eastAsia="宋体"/>
                <w:color w:val="auto"/>
                <w:sz w:val="21"/>
                <w:szCs w:val="21"/>
                <w:lang w:eastAsia="zh-CN"/>
              </w:rPr>
              <w:t>的</w:t>
            </w:r>
            <w:r>
              <w:rPr>
                <w:rFonts w:ascii="Times New Roman" w:hAnsi="Times New Roman" w:eastAsia="宋体"/>
                <w:color w:val="auto"/>
                <w:sz w:val="21"/>
                <w:szCs w:val="21"/>
              </w:rPr>
              <w:t>废水，同时项目废水为生活污水，水质简单，</w:t>
            </w:r>
            <w:r>
              <w:rPr>
                <w:rFonts w:hint="eastAsia" w:ascii="Times New Roman" w:hAnsi="Times New Roman" w:eastAsia="宋体"/>
                <w:color w:val="auto"/>
                <w:sz w:val="21"/>
                <w:szCs w:val="21"/>
              </w:rPr>
              <w:t>经化粪池处理后可</w:t>
            </w:r>
            <w:r>
              <w:rPr>
                <w:rFonts w:hint="eastAsia" w:ascii="Times New Roman" w:hAnsi="Times New Roman" w:eastAsia="宋体"/>
                <w:bCs/>
                <w:color w:val="auto"/>
                <w:kern w:val="0"/>
                <w:sz w:val="21"/>
                <w:szCs w:val="21"/>
              </w:rPr>
              <w:t>符合</w:t>
            </w:r>
            <w:r>
              <w:rPr>
                <w:rFonts w:ascii="Times New Roman" w:hAnsi="Times New Roman" w:eastAsia="宋体"/>
                <w:bCs/>
                <w:color w:val="auto"/>
                <w:kern w:val="0"/>
                <w:sz w:val="21"/>
                <w:szCs w:val="21"/>
              </w:rPr>
              <w:t>GB8978-1996《污水综合排放标准》表4中三级标准及GB/T 31962-2015《污水排入城镇下水道水质标准》表1中B级标准要求，满足污水处理厂</w:t>
            </w:r>
            <w:r>
              <w:rPr>
                <w:rFonts w:ascii="Times New Roman" w:hAnsi="Times New Roman" w:eastAsia="宋体"/>
                <w:color w:val="auto"/>
                <w:sz w:val="21"/>
                <w:szCs w:val="21"/>
              </w:rPr>
              <w:t>纳管水质要求，不会对污水处理厂的处理工艺和正常运行造成影响，因此，废水纳入</w:t>
            </w:r>
            <w:r>
              <w:rPr>
                <w:rFonts w:hint="eastAsia" w:ascii="Times New Roman" w:hAnsi="Times New Roman" w:eastAsia="宋体"/>
                <w:color w:val="auto"/>
                <w:sz w:val="21"/>
                <w:szCs w:val="21"/>
                <w:lang w:eastAsia="zh-CN"/>
              </w:rPr>
              <w:t>港</w:t>
            </w:r>
            <w:r>
              <w:rPr>
                <w:rFonts w:ascii="Times New Roman" w:hAnsi="Times New Roman" w:eastAsia="宋体"/>
                <w:color w:val="auto"/>
                <w:sz w:val="21"/>
                <w:szCs w:val="21"/>
              </w:rPr>
              <w:t>城污水处理厂是可行的。</w:t>
            </w:r>
          </w:p>
          <w:p w14:paraId="1A715160">
            <w:pPr>
              <w:spacing w:line="360" w:lineRule="auto"/>
              <w:rPr>
                <w:rFonts w:hint="default" w:eastAsia="宋体"/>
                <w:lang w:val="en-US" w:eastAsia="zh-CN"/>
              </w:rPr>
            </w:pPr>
            <w:r>
              <w:rPr>
                <w:rFonts w:hint="eastAsia"/>
                <w:lang w:val="en-US" w:eastAsia="zh-CN"/>
              </w:rPr>
              <w:t>项目污水排放采用雨污分流，初期雨水可流入循环冷却水池加以利用，不直接外排，不会对周边水体造成污染和危害。</w:t>
            </w:r>
          </w:p>
        </w:tc>
      </w:tr>
    </w:tbl>
    <w:p w14:paraId="4A13DA45">
      <w:pPr>
        <w:pStyle w:val="15"/>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7"/>
        <w:tblW w:w="139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7"/>
        <w:gridCol w:w="13542"/>
      </w:tblGrid>
      <w:tr w14:paraId="71B36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dxa"/>
            <w:tcMar>
              <w:left w:w="28" w:type="dxa"/>
              <w:right w:w="28" w:type="dxa"/>
            </w:tcMar>
            <w:vAlign w:val="center"/>
          </w:tcPr>
          <w:p w14:paraId="5D93ED13">
            <w:pPr>
              <w:pStyle w:val="24"/>
              <w:rPr>
                <w:rFonts w:hint="default" w:ascii="Times New Roman" w:hAnsi="Times New Roman" w:cs="Times New Roman"/>
                <w:sz w:val="21"/>
                <w:szCs w:val="21"/>
              </w:rPr>
            </w:pPr>
            <w:r>
              <w:rPr>
                <w:rFonts w:hint="default" w:ascii="Times New Roman" w:hAnsi="Times New Roman" w:cs="Times New Roman"/>
                <w:sz w:val="21"/>
                <w:szCs w:val="21"/>
              </w:rPr>
              <w:t>运营</w:t>
            </w:r>
          </w:p>
          <w:p w14:paraId="43DB52A8">
            <w:pPr>
              <w:pStyle w:val="24"/>
              <w:rPr>
                <w:rFonts w:hint="default" w:ascii="Times New Roman" w:hAnsi="Times New Roman" w:cs="Times New Roman"/>
                <w:sz w:val="21"/>
                <w:szCs w:val="21"/>
              </w:rPr>
            </w:pPr>
            <w:r>
              <w:rPr>
                <w:rFonts w:hint="default" w:ascii="Times New Roman" w:hAnsi="Times New Roman" w:cs="Times New Roman"/>
                <w:sz w:val="21"/>
                <w:szCs w:val="21"/>
              </w:rPr>
              <w:t>期环</w:t>
            </w:r>
          </w:p>
          <w:p w14:paraId="13030F7C">
            <w:pPr>
              <w:pStyle w:val="24"/>
              <w:rPr>
                <w:rFonts w:hint="default" w:ascii="Times New Roman" w:hAnsi="Times New Roman" w:cs="Times New Roman"/>
                <w:sz w:val="21"/>
                <w:szCs w:val="21"/>
              </w:rPr>
            </w:pPr>
            <w:r>
              <w:rPr>
                <w:rFonts w:hint="default" w:ascii="Times New Roman" w:hAnsi="Times New Roman" w:cs="Times New Roman"/>
                <w:sz w:val="21"/>
                <w:szCs w:val="21"/>
              </w:rPr>
              <w:t>境影</w:t>
            </w:r>
          </w:p>
          <w:p w14:paraId="4981A679">
            <w:pPr>
              <w:pStyle w:val="24"/>
              <w:rPr>
                <w:rFonts w:hint="default" w:ascii="Times New Roman" w:hAnsi="Times New Roman" w:cs="Times New Roman"/>
                <w:sz w:val="21"/>
                <w:szCs w:val="21"/>
              </w:rPr>
            </w:pPr>
            <w:r>
              <w:rPr>
                <w:rFonts w:hint="default" w:ascii="Times New Roman" w:hAnsi="Times New Roman" w:cs="Times New Roman"/>
                <w:sz w:val="21"/>
                <w:szCs w:val="21"/>
              </w:rPr>
              <w:t>响和</w:t>
            </w:r>
          </w:p>
          <w:p w14:paraId="62C39A52">
            <w:pPr>
              <w:pStyle w:val="24"/>
              <w:rPr>
                <w:rFonts w:hint="default" w:ascii="Times New Roman" w:hAnsi="Times New Roman" w:cs="Times New Roman"/>
                <w:sz w:val="21"/>
                <w:szCs w:val="21"/>
              </w:rPr>
            </w:pPr>
            <w:r>
              <w:rPr>
                <w:rFonts w:hint="default" w:ascii="Times New Roman" w:hAnsi="Times New Roman" w:cs="Times New Roman"/>
                <w:sz w:val="21"/>
                <w:szCs w:val="21"/>
              </w:rPr>
              <w:t>保护</w:t>
            </w:r>
          </w:p>
          <w:p w14:paraId="3B6C1519">
            <w:pPr>
              <w:pStyle w:val="24"/>
              <w:rPr>
                <w:rFonts w:hint="default" w:ascii="Times New Roman" w:hAnsi="Times New Roman" w:cs="Times New Roman"/>
                <w:sz w:val="21"/>
                <w:szCs w:val="21"/>
              </w:rPr>
            </w:pPr>
            <w:r>
              <w:rPr>
                <w:rFonts w:hint="default" w:ascii="Times New Roman" w:hAnsi="Times New Roman" w:cs="Times New Roman"/>
                <w:sz w:val="21"/>
                <w:szCs w:val="21"/>
              </w:rPr>
              <w:t>措施</w:t>
            </w:r>
          </w:p>
        </w:tc>
        <w:tc>
          <w:tcPr>
            <w:tcW w:w="13542" w:type="dxa"/>
            <w:vAlign w:val="center"/>
          </w:tcPr>
          <w:p w14:paraId="2D4813B5">
            <w:pPr>
              <w:pStyle w:val="24"/>
              <w:spacing w:line="360" w:lineRule="auto"/>
              <w:rPr>
                <w:rFonts w:hint="default" w:ascii="Times New Roman" w:hAnsi="Times New Roman" w:cs="Times New Roman"/>
                <w:b/>
                <w:bCs/>
                <w:sz w:val="21"/>
                <w:szCs w:val="21"/>
              </w:rPr>
            </w:pPr>
            <w:r>
              <w:rPr>
                <w:rFonts w:hint="default" w:ascii="Times New Roman" w:hAnsi="Times New Roman" w:cs="Times New Roman"/>
                <w:b/>
                <w:bCs/>
                <w:sz w:val="21"/>
                <w:szCs w:val="21"/>
              </w:rPr>
              <w:t>表4</w:t>
            </w:r>
            <w:r>
              <w:rPr>
                <w:rFonts w:hint="eastAsia" w:ascii="Times New Roman" w:hAnsi="Times New Roman" w:cs="Times New Roman"/>
                <w:b/>
                <w:bCs/>
                <w:sz w:val="21"/>
                <w:szCs w:val="21"/>
                <w:lang w:val="en-US" w:eastAsia="zh-CN"/>
              </w:rPr>
              <w:t>-11</w:t>
            </w:r>
            <w:r>
              <w:rPr>
                <w:rFonts w:hint="default" w:ascii="Times New Roman" w:hAnsi="Times New Roman" w:cs="Times New Roman"/>
                <w:b/>
                <w:bCs/>
                <w:sz w:val="21"/>
                <w:szCs w:val="21"/>
              </w:rPr>
              <w:t xml:space="preserve">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eastAsia="zh-CN"/>
              </w:rPr>
              <w:t>生活污水</w:t>
            </w:r>
            <w:r>
              <w:rPr>
                <w:rFonts w:hint="default" w:ascii="Times New Roman" w:hAnsi="Times New Roman" w:cs="Times New Roman"/>
                <w:b/>
                <w:bCs/>
                <w:sz w:val="21"/>
                <w:szCs w:val="21"/>
              </w:rPr>
              <w:t>污染源源强核算结果及相关参数一览表</w:t>
            </w:r>
          </w:p>
          <w:tbl>
            <w:tblPr>
              <w:tblStyle w:val="17"/>
              <w:tblW w:w="133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7"/>
              <w:gridCol w:w="343"/>
              <w:gridCol w:w="568"/>
              <w:gridCol w:w="330"/>
              <w:gridCol w:w="420"/>
              <w:gridCol w:w="472"/>
              <w:gridCol w:w="675"/>
              <w:gridCol w:w="278"/>
              <w:gridCol w:w="332"/>
              <w:gridCol w:w="311"/>
              <w:gridCol w:w="354"/>
              <w:gridCol w:w="510"/>
              <w:gridCol w:w="615"/>
              <w:gridCol w:w="660"/>
              <w:gridCol w:w="480"/>
              <w:gridCol w:w="646"/>
              <w:gridCol w:w="283"/>
              <w:gridCol w:w="283"/>
              <w:gridCol w:w="334"/>
              <w:gridCol w:w="719"/>
              <w:gridCol w:w="240"/>
              <w:gridCol w:w="336"/>
              <w:gridCol w:w="364"/>
              <w:gridCol w:w="1061"/>
              <w:gridCol w:w="439"/>
              <w:gridCol w:w="343"/>
              <w:gridCol w:w="829"/>
              <w:gridCol w:w="333"/>
              <w:gridCol w:w="501"/>
            </w:tblGrid>
            <w:tr w14:paraId="6FCC4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dxa"/>
                  <w:vMerge w:val="restart"/>
                  <w:tcBorders>
                    <w:tl2br w:val="nil"/>
                    <w:tr2bl w:val="nil"/>
                  </w:tcBorders>
                  <w:tcMar>
                    <w:top w:w="0" w:type="dxa"/>
                    <w:left w:w="28" w:type="dxa"/>
                    <w:bottom w:w="0" w:type="dxa"/>
                    <w:right w:w="28" w:type="dxa"/>
                  </w:tcMar>
                  <w:vAlign w:val="center"/>
                </w:tcPr>
                <w:p w14:paraId="37AF835A">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产污环节</w:t>
                  </w:r>
                </w:p>
              </w:tc>
              <w:tc>
                <w:tcPr>
                  <w:tcW w:w="343" w:type="dxa"/>
                  <w:vMerge w:val="restart"/>
                  <w:tcBorders>
                    <w:tl2br w:val="nil"/>
                    <w:tr2bl w:val="nil"/>
                  </w:tcBorders>
                  <w:tcMar>
                    <w:top w:w="0" w:type="dxa"/>
                    <w:left w:w="28" w:type="dxa"/>
                    <w:bottom w:w="0" w:type="dxa"/>
                    <w:right w:w="28" w:type="dxa"/>
                  </w:tcMar>
                  <w:vAlign w:val="center"/>
                </w:tcPr>
                <w:p w14:paraId="0CCF29EE">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568" w:type="dxa"/>
                  <w:vMerge w:val="restart"/>
                  <w:tcBorders>
                    <w:tl2br w:val="nil"/>
                    <w:tr2bl w:val="nil"/>
                  </w:tcBorders>
                  <w:tcMar>
                    <w:top w:w="0" w:type="dxa"/>
                    <w:left w:w="28" w:type="dxa"/>
                    <w:bottom w:w="0" w:type="dxa"/>
                    <w:right w:w="28" w:type="dxa"/>
                  </w:tcMar>
                  <w:vAlign w:val="center"/>
                </w:tcPr>
                <w:p w14:paraId="67F11EE4">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污染物种类</w:t>
                  </w:r>
                </w:p>
              </w:tc>
              <w:tc>
                <w:tcPr>
                  <w:tcW w:w="1897" w:type="dxa"/>
                  <w:gridSpan w:val="4"/>
                  <w:tcBorders>
                    <w:tl2br w:val="nil"/>
                    <w:tr2bl w:val="nil"/>
                  </w:tcBorders>
                  <w:tcMar>
                    <w:top w:w="0" w:type="dxa"/>
                    <w:left w:w="28" w:type="dxa"/>
                    <w:bottom w:w="0" w:type="dxa"/>
                    <w:right w:w="28" w:type="dxa"/>
                  </w:tcMar>
                  <w:vAlign w:val="center"/>
                </w:tcPr>
                <w:p w14:paraId="323BD1C6">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污染物产生</w:t>
                  </w:r>
                </w:p>
              </w:tc>
              <w:tc>
                <w:tcPr>
                  <w:tcW w:w="1275" w:type="dxa"/>
                  <w:gridSpan w:val="4"/>
                  <w:tcBorders>
                    <w:tl2br w:val="nil"/>
                    <w:tr2bl w:val="nil"/>
                  </w:tcBorders>
                  <w:tcMar>
                    <w:top w:w="0" w:type="dxa"/>
                    <w:left w:w="28" w:type="dxa"/>
                    <w:bottom w:w="0" w:type="dxa"/>
                    <w:right w:w="28" w:type="dxa"/>
                  </w:tcMar>
                  <w:vAlign w:val="center"/>
                </w:tcPr>
                <w:p w14:paraId="7A600EC1">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治理措施</w:t>
                  </w:r>
                </w:p>
              </w:tc>
              <w:tc>
                <w:tcPr>
                  <w:tcW w:w="2911" w:type="dxa"/>
                  <w:gridSpan w:val="5"/>
                  <w:tcBorders>
                    <w:tl2br w:val="nil"/>
                    <w:tr2bl w:val="nil"/>
                  </w:tcBorders>
                  <w:tcMar>
                    <w:top w:w="0" w:type="dxa"/>
                    <w:left w:w="28" w:type="dxa"/>
                    <w:bottom w:w="0" w:type="dxa"/>
                    <w:right w:w="28" w:type="dxa"/>
                  </w:tcMar>
                  <w:vAlign w:val="center"/>
                </w:tcPr>
                <w:p w14:paraId="6CF9124F">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污染物排放</w:t>
                  </w:r>
                </w:p>
              </w:tc>
              <w:tc>
                <w:tcPr>
                  <w:tcW w:w="283" w:type="dxa"/>
                  <w:vMerge w:val="restart"/>
                  <w:tcBorders>
                    <w:tl2br w:val="nil"/>
                    <w:tr2bl w:val="nil"/>
                  </w:tcBorders>
                  <w:tcMar>
                    <w:top w:w="0" w:type="dxa"/>
                    <w:left w:w="28" w:type="dxa"/>
                    <w:bottom w:w="0" w:type="dxa"/>
                    <w:right w:w="28" w:type="dxa"/>
                  </w:tcMar>
                  <w:vAlign w:val="center"/>
                </w:tcPr>
                <w:p w14:paraId="147B251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排放时间(h)</w:t>
                  </w:r>
                </w:p>
              </w:tc>
              <w:tc>
                <w:tcPr>
                  <w:tcW w:w="283" w:type="dxa"/>
                  <w:vMerge w:val="restart"/>
                  <w:tcBorders>
                    <w:tl2br w:val="nil"/>
                    <w:tr2bl w:val="nil"/>
                  </w:tcBorders>
                  <w:tcMar>
                    <w:top w:w="0" w:type="dxa"/>
                    <w:left w:w="28" w:type="dxa"/>
                    <w:bottom w:w="0" w:type="dxa"/>
                    <w:right w:w="28" w:type="dxa"/>
                  </w:tcMar>
                  <w:vAlign w:val="center"/>
                </w:tcPr>
                <w:p w14:paraId="426345CE">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排放方式</w:t>
                  </w:r>
                </w:p>
              </w:tc>
              <w:tc>
                <w:tcPr>
                  <w:tcW w:w="334" w:type="dxa"/>
                  <w:vMerge w:val="restart"/>
                  <w:tcBorders>
                    <w:tl2br w:val="nil"/>
                    <w:tr2bl w:val="nil"/>
                  </w:tcBorders>
                  <w:tcMar>
                    <w:top w:w="0" w:type="dxa"/>
                    <w:left w:w="28" w:type="dxa"/>
                    <w:bottom w:w="0" w:type="dxa"/>
                    <w:right w:w="28" w:type="dxa"/>
                  </w:tcMar>
                  <w:vAlign w:val="center"/>
                </w:tcPr>
                <w:p w14:paraId="7DBCD245">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排放去向</w:t>
                  </w:r>
                </w:p>
              </w:tc>
              <w:tc>
                <w:tcPr>
                  <w:tcW w:w="719" w:type="dxa"/>
                  <w:vMerge w:val="restart"/>
                  <w:tcBorders>
                    <w:tl2br w:val="nil"/>
                    <w:tr2bl w:val="nil"/>
                  </w:tcBorders>
                  <w:tcMar>
                    <w:top w:w="0" w:type="dxa"/>
                    <w:left w:w="28" w:type="dxa"/>
                    <w:bottom w:w="0" w:type="dxa"/>
                    <w:right w:w="28" w:type="dxa"/>
                  </w:tcMar>
                  <w:vAlign w:val="center"/>
                </w:tcPr>
                <w:p w14:paraId="090A2FF5">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排放规律</w:t>
                  </w:r>
                </w:p>
              </w:tc>
              <w:tc>
                <w:tcPr>
                  <w:tcW w:w="2001" w:type="dxa"/>
                  <w:gridSpan w:val="4"/>
                  <w:tcBorders>
                    <w:tl2br w:val="nil"/>
                    <w:tr2bl w:val="nil"/>
                  </w:tcBorders>
                  <w:tcMar>
                    <w:top w:w="0" w:type="dxa"/>
                    <w:left w:w="28" w:type="dxa"/>
                    <w:bottom w:w="0" w:type="dxa"/>
                    <w:right w:w="28" w:type="dxa"/>
                  </w:tcMar>
                  <w:vAlign w:val="center"/>
                </w:tcPr>
                <w:p w14:paraId="50C0345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排放口基本情况</w:t>
                  </w:r>
                </w:p>
              </w:tc>
              <w:tc>
                <w:tcPr>
                  <w:tcW w:w="439" w:type="dxa"/>
                  <w:vMerge w:val="restart"/>
                  <w:tcBorders>
                    <w:tl2br w:val="nil"/>
                    <w:tr2bl w:val="nil"/>
                  </w:tcBorders>
                  <w:tcMar>
                    <w:top w:w="0" w:type="dxa"/>
                    <w:left w:w="28" w:type="dxa"/>
                    <w:bottom w:w="0" w:type="dxa"/>
                    <w:right w:w="28" w:type="dxa"/>
                  </w:tcMar>
                  <w:vAlign w:val="center"/>
                </w:tcPr>
                <w:p w14:paraId="68135D8B">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排放标准</w:t>
                  </w:r>
                </w:p>
              </w:tc>
              <w:tc>
                <w:tcPr>
                  <w:tcW w:w="2006" w:type="dxa"/>
                  <w:gridSpan w:val="4"/>
                  <w:tcBorders>
                    <w:tl2br w:val="nil"/>
                    <w:tr2bl w:val="nil"/>
                  </w:tcBorders>
                  <w:tcMar>
                    <w:top w:w="0" w:type="dxa"/>
                    <w:left w:w="28" w:type="dxa"/>
                    <w:bottom w:w="0" w:type="dxa"/>
                    <w:right w:w="28" w:type="dxa"/>
                  </w:tcMar>
                  <w:vAlign w:val="center"/>
                </w:tcPr>
                <w:p w14:paraId="1552ADC1">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监测要求</w:t>
                  </w:r>
                </w:p>
              </w:tc>
            </w:tr>
            <w:tr w14:paraId="04EE7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67" w:type="dxa"/>
                  <w:vMerge w:val="continue"/>
                  <w:tcBorders>
                    <w:tl2br w:val="nil"/>
                    <w:tr2bl w:val="nil"/>
                  </w:tcBorders>
                  <w:tcMar>
                    <w:top w:w="0" w:type="dxa"/>
                    <w:left w:w="28" w:type="dxa"/>
                    <w:bottom w:w="0" w:type="dxa"/>
                    <w:right w:w="28" w:type="dxa"/>
                  </w:tcMar>
                  <w:vAlign w:val="center"/>
                </w:tcPr>
                <w:p w14:paraId="6C6F9E64">
                  <w:pPr>
                    <w:pStyle w:val="24"/>
                    <w:rPr>
                      <w:rFonts w:hint="default" w:ascii="Times New Roman" w:hAnsi="Times New Roman" w:cs="Times New Roman"/>
                      <w:b/>
                      <w:bCs/>
                      <w:sz w:val="18"/>
                      <w:szCs w:val="18"/>
                    </w:rPr>
                  </w:pPr>
                </w:p>
              </w:tc>
              <w:tc>
                <w:tcPr>
                  <w:tcW w:w="343" w:type="dxa"/>
                  <w:vMerge w:val="continue"/>
                  <w:tcBorders>
                    <w:tl2br w:val="nil"/>
                    <w:tr2bl w:val="nil"/>
                  </w:tcBorders>
                  <w:tcMar>
                    <w:top w:w="0" w:type="dxa"/>
                    <w:left w:w="28" w:type="dxa"/>
                    <w:bottom w:w="0" w:type="dxa"/>
                    <w:right w:w="28" w:type="dxa"/>
                  </w:tcMar>
                  <w:vAlign w:val="center"/>
                </w:tcPr>
                <w:p w14:paraId="1A2D77E2">
                  <w:pPr>
                    <w:pStyle w:val="24"/>
                    <w:rPr>
                      <w:rFonts w:hint="default" w:ascii="Times New Roman" w:hAnsi="Times New Roman" w:cs="Times New Roman"/>
                      <w:b/>
                      <w:bCs/>
                      <w:sz w:val="18"/>
                      <w:szCs w:val="18"/>
                    </w:rPr>
                  </w:pPr>
                </w:p>
              </w:tc>
              <w:tc>
                <w:tcPr>
                  <w:tcW w:w="568" w:type="dxa"/>
                  <w:vMerge w:val="continue"/>
                  <w:tcBorders>
                    <w:tl2br w:val="nil"/>
                    <w:tr2bl w:val="nil"/>
                  </w:tcBorders>
                  <w:tcMar>
                    <w:top w:w="0" w:type="dxa"/>
                    <w:left w:w="28" w:type="dxa"/>
                    <w:bottom w:w="0" w:type="dxa"/>
                    <w:right w:w="28" w:type="dxa"/>
                  </w:tcMar>
                  <w:vAlign w:val="center"/>
                </w:tcPr>
                <w:p w14:paraId="0AB4FCA1">
                  <w:pPr>
                    <w:pStyle w:val="24"/>
                    <w:rPr>
                      <w:rFonts w:hint="default" w:ascii="Times New Roman" w:hAnsi="Times New Roman" w:cs="Times New Roman"/>
                      <w:b/>
                      <w:bCs/>
                      <w:sz w:val="18"/>
                      <w:szCs w:val="18"/>
                    </w:rPr>
                  </w:pPr>
                </w:p>
              </w:tc>
              <w:tc>
                <w:tcPr>
                  <w:tcW w:w="330" w:type="dxa"/>
                  <w:vMerge w:val="restart"/>
                  <w:tcBorders>
                    <w:tl2br w:val="nil"/>
                    <w:tr2bl w:val="nil"/>
                  </w:tcBorders>
                  <w:tcMar>
                    <w:top w:w="0" w:type="dxa"/>
                    <w:left w:w="28" w:type="dxa"/>
                    <w:bottom w:w="0" w:type="dxa"/>
                    <w:right w:w="28" w:type="dxa"/>
                  </w:tcMar>
                  <w:vAlign w:val="center"/>
                </w:tcPr>
                <w:p w14:paraId="17398894">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核算方法</w:t>
                  </w:r>
                </w:p>
              </w:tc>
              <w:tc>
                <w:tcPr>
                  <w:tcW w:w="420" w:type="dxa"/>
                  <w:vMerge w:val="restart"/>
                  <w:tcBorders>
                    <w:tl2br w:val="nil"/>
                    <w:tr2bl w:val="nil"/>
                  </w:tcBorders>
                  <w:tcMar>
                    <w:top w:w="0" w:type="dxa"/>
                    <w:left w:w="28" w:type="dxa"/>
                    <w:bottom w:w="0" w:type="dxa"/>
                    <w:right w:w="28" w:type="dxa"/>
                  </w:tcMar>
                  <w:vAlign w:val="center"/>
                </w:tcPr>
                <w:p w14:paraId="1DAD8D2C">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产生废水量(</w:t>
                  </w:r>
                  <w:r>
                    <w:rPr>
                      <w:rFonts w:hint="default" w:ascii="Times New Roman" w:hAnsi="Times New Roman" w:cs="Times New Roman"/>
                      <w:b/>
                      <w:bCs/>
                      <w:sz w:val="18"/>
                      <w:szCs w:val="18"/>
                      <w:lang w:val="en-US" w:eastAsia="zh-CN"/>
                    </w:rPr>
                    <w:t>t</w:t>
                  </w:r>
                  <w:r>
                    <w:rPr>
                      <w:rFonts w:hint="default" w:ascii="Times New Roman" w:hAnsi="Times New Roman" w:cs="Times New Roman"/>
                      <w:b/>
                      <w:bCs/>
                      <w:sz w:val="18"/>
                      <w:szCs w:val="18"/>
                    </w:rPr>
                    <w:t>/a)</w:t>
                  </w:r>
                </w:p>
              </w:tc>
              <w:tc>
                <w:tcPr>
                  <w:tcW w:w="472" w:type="dxa"/>
                  <w:vMerge w:val="restart"/>
                  <w:tcBorders>
                    <w:tl2br w:val="nil"/>
                    <w:tr2bl w:val="nil"/>
                  </w:tcBorders>
                  <w:tcMar>
                    <w:top w:w="0" w:type="dxa"/>
                    <w:left w:w="28" w:type="dxa"/>
                    <w:bottom w:w="0" w:type="dxa"/>
                    <w:right w:w="28" w:type="dxa"/>
                  </w:tcMar>
                  <w:vAlign w:val="center"/>
                </w:tcPr>
                <w:p w14:paraId="001176C4">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产生</w:t>
                  </w:r>
                </w:p>
                <w:p w14:paraId="5E9DF45C">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浓度(mg/L)</w:t>
                  </w:r>
                </w:p>
              </w:tc>
              <w:tc>
                <w:tcPr>
                  <w:tcW w:w="675" w:type="dxa"/>
                  <w:vMerge w:val="restart"/>
                  <w:tcBorders>
                    <w:tl2br w:val="nil"/>
                    <w:tr2bl w:val="nil"/>
                  </w:tcBorders>
                  <w:tcMar>
                    <w:top w:w="0" w:type="dxa"/>
                    <w:left w:w="28" w:type="dxa"/>
                    <w:bottom w:w="0" w:type="dxa"/>
                    <w:right w:w="28" w:type="dxa"/>
                  </w:tcMar>
                  <w:vAlign w:val="center"/>
                </w:tcPr>
                <w:p w14:paraId="55D9D5FA">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产生量(t/a)</w:t>
                  </w:r>
                </w:p>
              </w:tc>
              <w:tc>
                <w:tcPr>
                  <w:tcW w:w="278" w:type="dxa"/>
                  <w:vMerge w:val="restart"/>
                  <w:tcBorders>
                    <w:tl2br w:val="nil"/>
                    <w:tr2bl w:val="nil"/>
                  </w:tcBorders>
                  <w:tcMar>
                    <w:top w:w="0" w:type="dxa"/>
                    <w:left w:w="28" w:type="dxa"/>
                    <w:bottom w:w="0" w:type="dxa"/>
                    <w:right w:w="28" w:type="dxa"/>
                  </w:tcMar>
                  <w:vAlign w:val="center"/>
                </w:tcPr>
                <w:p w14:paraId="35253631">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处理能力t/d</w:t>
                  </w:r>
                </w:p>
              </w:tc>
              <w:tc>
                <w:tcPr>
                  <w:tcW w:w="332" w:type="dxa"/>
                  <w:vMerge w:val="restart"/>
                  <w:tcBorders>
                    <w:tl2br w:val="nil"/>
                    <w:tr2bl w:val="nil"/>
                  </w:tcBorders>
                  <w:tcMar>
                    <w:top w:w="0" w:type="dxa"/>
                    <w:left w:w="28" w:type="dxa"/>
                    <w:bottom w:w="0" w:type="dxa"/>
                    <w:right w:w="28" w:type="dxa"/>
                  </w:tcMar>
                  <w:vAlign w:val="center"/>
                </w:tcPr>
                <w:p w14:paraId="6D63601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治理工艺</w:t>
                  </w:r>
                </w:p>
              </w:tc>
              <w:tc>
                <w:tcPr>
                  <w:tcW w:w="311" w:type="dxa"/>
                  <w:vMerge w:val="restart"/>
                  <w:tcBorders>
                    <w:tl2br w:val="nil"/>
                    <w:tr2bl w:val="nil"/>
                  </w:tcBorders>
                  <w:tcMar>
                    <w:top w:w="0" w:type="dxa"/>
                    <w:left w:w="28" w:type="dxa"/>
                    <w:bottom w:w="0" w:type="dxa"/>
                    <w:right w:w="28" w:type="dxa"/>
                  </w:tcMar>
                  <w:vAlign w:val="center"/>
                </w:tcPr>
                <w:p w14:paraId="0DE3D493">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治理效率/%</w:t>
                  </w:r>
                </w:p>
              </w:tc>
              <w:tc>
                <w:tcPr>
                  <w:tcW w:w="354" w:type="dxa"/>
                  <w:vMerge w:val="restart"/>
                  <w:tcBorders>
                    <w:tl2br w:val="nil"/>
                    <w:tr2bl w:val="nil"/>
                  </w:tcBorders>
                  <w:tcMar>
                    <w:top w:w="0" w:type="dxa"/>
                    <w:left w:w="28" w:type="dxa"/>
                    <w:bottom w:w="0" w:type="dxa"/>
                    <w:right w:w="28" w:type="dxa"/>
                  </w:tcMar>
                  <w:vAlign w:val="center"/>
                </w:tcPr>
                <w:p w14:paraId="560E3B2E">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是否为可行技术</w:t>
                  </w:r>
                </w:p>
              </w:tc>
              <w:tc>
                <w:tcPr>
                  <w:tcW w:w="1785" w:type="dxa"/>
                  <w:gridSpan w:val="3"/>
                  <w:tcBorders>
                    <w:tl2br w:val="nil"/>
                    <w:tr2bl w:val="nil"/>
                  </w:tcBorders>
                  <w:tcMar>
                    <w:top w:w="0" w:type="dxa"/>
                    <w:left w:w="28" w:type="dxa"/>
                    <w:bottom w:w="0" w:type="dxa"/>
                    <w:right w:w="28" w:type="dxa"/>
                  </w:tcMar>
                  <w:vAlign w:val="center"/>
                </w:tcPr>
                <w:p w14:paraId="22E7D1BB">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纳管排放</w:t>
                  </w:r>
                </w:p>
              </w:tc>
              <w:tc>
                <w:tcPr>
                  <w:tcW w:w="1126" w:type="dxa"/>
                  <w:gridSpan w:val="2"/>
                  <w:tcBorders>
                    <w:tl2br w:val="nil"/>
                    <w:tr2bl w:val="nil"/>
                  </w:tcBorders>
                  <w:tcMar>
                    <w:top w:w="0" w:type="dxa"/>
                    <w:left w:w="28" w:type="dxa"/>
                    <w:bottom w:w="0" w:type="dxa"/>
                    <w:right w:w="28" w:type="dxa"/>
                  </w:tcMar>
                  <w:vAlign w:val="center"/>
                </w:tcPr>
                <w:p w14:paraId="0A941A43">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排外环境</w:t>
                  </w:r>
                </w:p>
              </w:tc>
              <w:tc>
                <w:tcPr>
                  <w:tcW w:w="283" w:type="dxa"/>
                  <w:vMerge w:val="continue"/>
                  <w:tcBorders>
                    <w:tl2br w:val="nil"/>
                    <w:tr2bl w:val="nil"/>
                  </w:tcBorders>
                  <w:tcMar>
                    <w:top w:w="0" w:type="dxa"/>
                    <w:left w:w="28" w:type="dxa"/>
                    <w:bottom w:w="0" w:type="dxa"/>
                    <w:right w:w="28" w:type="dxa"/>
                  </w:tcMar>
                  <w:vAlign w:val="center"/>
                </w:tcPr>
                <w:p w14:paraId="2CA2CD32">
                  <w:pPr>
                    <w:pStyle w:val="24"/>
                    <w:rPr>
                      <w:rFonts w:hint="default" w:ascii="Times New Roman" w:hAnsi="Times New Roman" w:cs="Times New Roman"/>
                      <w:b/>
                      <w:bCs/>
                      <w:sz w:val="18"/>
                      <w:szCs w:val="18"/>
                    </w:rPr>
                  </w:pPr>
                </w:p>
              </w:tc>
              <w:tc>
                <w:tcPr>
                  <w:tcW w:w="283" w:type="dxa"/>
                  <w:vMerge w:val="continue"/>
                  <w:tcBorders>
                    <w:tl2br w:val="nil"/>
                    <w:tr2bl w:val="nil"/>
                  </w:tcBorders>
                  <w:tcMar>
                    <w:top w:w="0" w:type="dxa"/>
                    <w:left w:w="28" w:type="dxa"/>
                    <w:bottom w:w="0" w:type="dxa"/>
                    <w:right w:w="28" w:type="dxa"/>
                  </w:tcMar>
                  <w:vAlign w:val="center"/>
                </w:tcPr>
                <w:p w14:paraId="2D783597">
                  <w:pPr>
                    <w:pStyle w:val="24"/>
                    <w:rPr>
                      <w:rFonts w:hint="default" w:ascii="Times New Roman" w:hAnsi="Times New Roman" w:cs="Times New Roman"/>
                      <w:b/>
                      <w:bCs/>
                      <w:sz w:val="18"/>
                      <w:szCs w:val="18"/>
                    </w:rPr>
                  </w:pPr>
                </w:p>
              </w:tc>
              <w:tc>
                <w:tcPr>
                  <w:tcW w:w="334" w:type="dxa"/>
                  <w:vMerge w:val="continue"/>
                  <w:tcBorders>
                    <w:tl2br w:val="nil"/>
                    <w:tr2bl w:val="nil"/>
                  </w:tcBorders>
                  <w:tcMar>
                    <w:top w:w="0" w:type="dxa"/>
                    <w:left w:w="28" w:type="dxa"/>
                    <w:bottom w:w="0" w:type="dxa"/>
                    <w:right w:w="28" w:type="dxa"/>
                  </w:tcMar>
                  <w:vAlign w:val="center"/>
                </w:tcPr>
                <w:p w14:paraId="646917F0">
                  <w:pPr>
                    <w:pStyle w:val="24"/>
                    <w:rPr>
                      <w:rFonts w:hint="default" w:ascii="Times New Roman" w:hAnsi="Times New Roman" w:cs="Times New Roman"/>
                      <w:b/>
                      <w:bCs/>
                      <w:sz w:val="18"/>
                      <w:szCs w:val="18"/>
                    </w:rPr>
                  </w:pPr>
                </w:p>
              </w:tc>
              <w:tc>
                <w:tcPr>
                  <w:tcW w:w="719" w:type="dxa"/>
                  <w:vMerge w:val="continue"/>
                  <w:tcBorders>
                    <w:tl2br w:val="nil"/>
                    <w:tr2bl w:val="nil"/>
                  </w:tcBorders>
                  <w:tcMar>
                    <w:top w:w="0" w:type="dxa"/>
                    <w:left w:w="28" w:type="dxa"/>
                    <w:bottom w:w="0" w:type="dxa"/>
                    <w:right w:w="28" w:type="dxa"/>
                  </w:tcMar>
                  <w:vAlign w:val="center"/>
                </w:tcPr>
                <w:p w14:paraId="5077811A">
                  <w:pPr>
                    <w:pStyle w:val="24"/>
                    <w:rPr>
                      <w:rFonts w:hint="default" w:ascii="Times New Roman" w:hAnsi="Times New Roman" w:cs="Times New Roman"/>
                      <w:b/>
                      <w:bCs/>
                      <w:sz w:val="18"/>
                      <w:szCs w:val="18"/>
                    </w:rPr>
                  </w:pPr>
                </w:p>
              </w:tc>
              <w:tc>
                <w:tcPr>
                  <w:tcW w:w="240" w:type="dxa"/>
                  <w:vMerge w:val="restart"/>
                  <w:tcBorders>
                    <w:tl2br w:val="nil"/>
                    <w:tr2bl w:val="nil"/>
                  </w:tcBorders>
                  <w:tcMar>
                    <w:top w:w="0" w:type="dxa"/>
                    <w:left w:w="28" w:type="dxa"/>
                    <w:bottom w:w="0" w:type="dxa"/>
                    <w:right w:w="28" w:type="dxa"/>
                  </w:tcMar>
                  <w:vAlign w:val="center"/>
                </w:tcPr>
                <w:p w14:paraId="2DDB9F39">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编号</w:t>
                  </w:r>
                </w:p>
              </w:tc>
              <w:tc>
                <w:tcPr>
                  <w:tcW w:w="336" w:type="dxa"/>
                  <w:vMerge w:val="restart"/>
                  <w:tcBorders>
                    <w:tl2br w:val="nil"/>
                    <w:tr2bl w:val="nil"/>
                  </w:tcBorders>
                  <w:tcMar>
                    <w:top w:w="0" w:type="dxa"/>
                    <w:left w:w="28" w:type="dxa"/>
                    <w:bottom w:w="0" w:type="dxa"/>
                    <w:right w:w="28" w:type="dxa"/>
                  </w:tcMar>
                  <w:vAlign w:val="center"/>
                </w:tcPr>
                <w:p w14:paraId="778D2562">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名</w:t>
                  </w:r>
                </w:p>
                <w:p w14:paraId="688B1D5B">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称</w:t>
                  </w:r>
                </w:p>
              </w:tc>
              <w:tc>
                <w:tcPr>
                  <w:tcW w:w="364" w:type="dxa"/>
                  <w:vMerge w:val="restart"/>
                  <w:tcBorders>
                    <w:tl2br w:val="nil"/>
                    <w:tr2bl w:val="nil"/>
                  </w:tcBorders>
                  <w:tcMar>
                    <w:top w:w="0" w:type="dxa"/>
                    <w:left w:w="28" w:type="dxa"/>
                    <w:bottom w:w="0" w:type="dxa"/>
                    <w:right w:w="28" w:type="dxa"/>
                  </w:tcMar>
                  <w:vAlign w:val="center"/>
                </w:tcPr>
                <w:p w14:paraId="07CCAD2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类型</w:t>
                  </w:r>
                </w:p>
              </w:tc>
              <w:tc>
                <w:tcPr>
                  <w:tcW w:w="1061" w:type="dxa"/>
                  <w:vMerge w:val="restart"/>
                  <w:tcBorders>
                    <w:tl2br w:val="nil"/>
                    <w:tr2bl w:val="nil"/>
                  </w:tcBorders>
                  <w:tcMar>
                    <w:top w:w="0" w:type="dxa"/>
                    <w:left w:w="28" w:type="dxa"/>
                    <w:bottom w:w="0" w:type="dxa"/>
                    <w:right w:w="28" w:type="dxa"/>
                  </w:tcMar>
                  <w:vAlign w:val="center"/>
                </w:tcPr>
                <w:p w14:paraId="5C50A27A">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地理</w:t>
                  </w:r>
                </w:p>
                <w:p w14:paraId="6EB92E98">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坐标</w:t>
                  </w:r>
                </w:p>
              </w:tc>
              <w:tc>
                <w:tcPr>
                  <w:tcW w:w="439" w:type="dxa"/>
                  <w:vMerge w:val="continue"/>
                  <w:tcBorders>
                    <w:tl2br w:val="nil"/>
                    <w:tr2bl w:val="nil"/>
                  </w:tcBorders>
                  <w:tcMar>
                    <w:top w:w="0" w:type="dxa"/>
                    <w:left w:w="28" w:type="dxa"/>
                    <w:bottom w:w="0" w:type="dxa"/>
                    <w:right w:w="28" w:type="dxa"/>
                  </w:tcMar>
                  <w:vAlign w:val="center"/>
                </w:tcPr>
                <w:p w14:paraId="5B71E64E">
                  <w:pPr>
                    <w:pStyle w:val="24"/>
                    <w:rPr>
                      <w:rFonts w:hint="default" w:ascii="Times New Roman" w:hAnsi="Times New Roman" w:cs="Times New Roman"/>
                      <w:b/>
                      <w:bCs/>
                      <w:sz w:val="18"/>
                      <w:szCs w:val="18"/>
                    </w:rPr>
                  </w:pPr>
                </w:p>
              </w:tc>
              <w:tc>
                <w:tcPr>
                  <w:tcW w:w="343" w:type="dxa"/>
                  <w:vMerge w:val="restart"/>
                  <w:tcBorders>
                    <w:tl2br w:val="nil"/>
                    <w:tr2bl w:val="nil"/>
                  </w:tcBorders>
                  <w:tcMar>
                    <w:top w:w="0" w:type="dxa"/>
                    <w:left w:w="28" w:type="dxa"/>
                    <w:bottom w:w="0" w:type="dxa"/>
                    <w:right w:w="28" w:type="dxa"/>
                  </w:tcMar>
                  <w:vAlign w:val="center"/>
                </w:tcPr>
                <w:p w14:paraId="4DE1FB7D">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监测点位</w:t>
                  </w:r>
                </w:p>
              </w:tc>
              <w:tc>
                <w:tcPr>
                  <w:tcW w:w="829" w:type="dxa"/>
                  <w:vMerge w:val="restart"/>
                  <w:tcBorders>
                    <w:tl2br w:val="nil"/>
                    <w:tr2bl w:val="nil"/>
                  </w:tcBorders>
                  <w:tcMar>
                    <w:top w:w="0" w:type="dxa"/>
                    <w:left w:w="28" w:type="dxa"/>
                    <w:bottom w:w="0" w:type="dxa"/>
                    <w:right w:w="28" w:type="dxa"/>
                  </w:tcMar>
                  <w:vAlign w:val="center"/>
                </w:tcPr>
                <w:p w14:paraId="2684056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监测因子</w:t>
                  </w:r>
                </w:p>
              </w:tc>
              <w:tc>
                <w:tcPr>
                  <w:tcW w:w="333" w:type="dxa"/>
                  <w:vMerge w:val="restart"/>
                  <w:tcBorders>
                    <w:tl2br w:val="nil"/>
                    <w:tr2bl w:val="nil"/>
                  </w:tcBorders>
                  <w:tcMar>
                    <w:top w:w="0" w:type="dxa"/>
                    <w:left w:w="28" w:type="dxa"/>
                    <w:bottom w:w="0" w:type="dxa"/>
                    <w:right w:w="28" w:type="dxa"/>
                  </w:tcMar>
                  <w:vAlign w:val="center"/>
                </w:tcPr>
                <w:p w14:paraId="3748E98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监测频次</w:t>
                  </w:r>
                </w:p>
              </w:tc>
              <w:tc>
                <w:tcPr>
                  <w:tcW w:w="501" w:type="dxa"/>
                  <w:vMerge w:val="restart"/>
                  <w:tcBorders>
                    <w:tl2br w:val="nil"/>
                    <w:tr2bl w:val="nil"/>
                  </w:tcBorders>
                  <w:tcMar>
                    <w:top w:w="0" w:type="dxa"/>
                    <w:left w:w="28" w:type="dxa"/>
                    <w:bottom w:w="0" w:type="dxa"/>
                    <w:right w:w="28" w:type="dxa"/>
                  </w:tcMar>
                  <w:vAlign w:val="center"/>
                </w:tcPr>
                <w:p w14:paraId="533F1D21">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备注</w:t>
                  </w:r>
                </w:p>
              </w:tc>
            </w:tr>
            <w:tr w14:paraId="62A33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67" w:type="dxa"/>
                  <w:vMerge w:val="continue"/>
                  <w:tcBorders>
                    <w:tl2br w:val="nil"/>
                    <w:tr2bl w:val="nil"/>
                  </w:tcBorders>
                  <w:tcMar>
                    <w:top w:w="0" w:type="dxa"/>
                    <w:left w:w="28" w:type="dxa"/>
                    <w:bottom w:w="0" w:type="dxa"/>
                    <w:right w:w="28" w:type="dxa"/>
                  </w:tcMar>
                  <w:vAlign w:val="center"/>
                </w:tcPr>
                <w:p w14:paraId="7A186C4C">
                  <w:pPr>
                    <w:pStyle w:val="24"/>
                    <w:rPr>
                      <w:rFonts w:hint="default" w:ascii="Times New Roman" w:hAnsi="Times New Roman" w:cs="Times New Roman"/>
                      <w:b/>
                      <w:bCs/>
                      <w:sz w:val="18"/>
                      <w:szCs w:val="18"/>
                    </w:rPr>
                  </w:pPr>
                </w:p>
              </w:tc>
              <w:tc>
                <w:tcPr>
                  <w:tcW w:w="343" w:type="dxa"/>
                  <w:vMerge w:val="continue"/>
                  <w:tcBorders>
                    <w:tl2br w:val="nil"/>
                    <w:tr2bl w:val="nil"/>
                  </w:tcBorders>
                  <w:tcMar>
                    <w:top w:w="0" w:type="dxa"/>
                    <w:left w:w="28" w:type="dxa"/>
                    <w:bottom w:w="0" w:type="dxa"/>
                    <w:right w:w="28" w:type="dxa"/>
                  </w:tcMar>
                  <w:vAlign w:val="center"/>
                </w:tcPr>
                <w:p w14:paraId="1FBF9C1F">
                  <w:pPr>
                    <w:pStyle w:val="24"/>
                    <w:rPr>
                      <w:rFonts w:hint="default" w:ascii="Times New Roman" w:hAnsi="Times New Roman" w:cs="Times New Roman"/>
                      <w:b/>
                      <w:bCs/>
                      <w:sz w:val="18"/>
                      <w:szCs w:val="18"/>
                    </w:rPr>
                  </w:pPr>
                </w:p>
              </w:tc>
              <w:tc>
                <w:tcPr>
                  <w:tcW w:w="568" w:type="dxa"/>
                  <w:vMerge w:val="continue"/>
                  <w:tcBorders>
                    <w:tl2br w:val="nil"/>
                    <w:tr2bl w:val="nil"/>
                  </w:tcBorders>
                  <w:tcMar>
                    <w:top w:w="0" w:type="dxa"/>
                    <w:left w:w="28" w:type="dxa"/>
                    <w:bottom w:w="0" w:type="dxa"/>
                    <w:right w:w="28" w:type="dxa"/>
                  </w:tcMar>
                  <w:vAlign w:val="center"/>
                </w:tcPr>
                <w:p w14:paraId="6E162BC2">
                  <w:pPr>
                    <w:pStyle w:val="24"/>
                    <w:rPr>
                      <w:rFonts w:hint="default" w:ascii="Times New Roman" w:hAnsi="Times New Roman" w:cs="Times New Roman"/>
                      <w:b/>
                      <w:bCs/>
                      <w:sz w:val="18"/>
                      <w:szCs w:val="18"/>
                    </w:rPr>
                  </w:pPr>
                </w:p>
              </w:tc>
              <w:tc>
                <w:tcPr>
                  <w:tcW w:w="330" w:type="dxa"/>
                  <w:vMerge w:val="continue"/>
                  <w:tcBorders>
                    <w:tl2br w:val="nil"/>
                    <w:tr2bl w:val="nil"/>
                  </w:tcBorders>
                  <w:tcMar>
                    <w:top w:w="0" w:type="dxa"/>
                    <w:left w:w="28" w:type="dxa"/>
                    <w:bottom w:w="0" w:type="dxa"/>
                    <w:right w:w="28" w:type="dxa"/>
                  </w:tcMar>
                  <w:vAlign w:val="center"/>
                </w:tcPr>
                <w:p w14:paraId="25CCB504">
                  <w:pPr>
                    <w:pStyle w:val="24"/>
                    <w:rPr>
                      <w:rFonts w:hint="default" w:ascii="Times New Roman" w:hAnsi="Times New Roman" w:cs="Times New Roman"/>
                      <w:b/>
                      <w:bCs/>
                      <w:sz w:val="18"/>
                      <w:szCs w:val="18"/>
                    </w:rPr>
                  </w:pPr>
                </w:p>
              </w:tc>
              <w:tc>
                <w:tcPr>
                  <w:tcW w:w="420" w:type="dxa"/>
                  <w:vMerge w:val="continue"/>
                  <w:tcBorders>
                    <w:tl2br w:val="nil"/>
                    <w:tr2bl w:val="nil"/>
                  </w:tcBorders>
                  <w:tcMar>
                    <w:top w:w="0" w:type="dxa"/>
                    <w:left w:w="28" w:type="dxa"/>
                    <w:bottom w:w="0" w:type="dxa"/>
                    <w:right w:w="28" w:type="dxa"/>
                  </w:tcMar>
                  <w:vAlign w:val="center"/>
                </w:tcPr>
                <w:p w14:paraId="1BDAAA2C">
                  <w:pPr>
                    <w:pStyle w:val="24"/>
                    <w:rPr>
                      <w:rFonts w:hint="default" w:ascii="Times New Roman" w:hAnsi="Times New Roman" w:cs="Times New Roman"/>
                      <w:b/>
                      <w:bCs/>
                      <w:sz w:val="18"/>
                      <w:szCs w:val="18"/>
                    </w:rPr>
                  </w:pPr>
                </w:p>
              </w:tc>
              <w:tc>
                <w:tcPr>
                  <w:tcW w:w="472" w:type="dxa"/>
                  <w:vMerge w:val="continue"/>
                  <w:tcBorders>
                    <w:tl2br w:val="nil"/>
                    <w:tr2bl w:val="nil"/>
                  </w:tcBorders>
                  <w:tcMar>
                    <w:top w:w="0" w:type="dxa"/>
                    <w:left w:w="28" w:type="dxa"/>
                    <w:bottom w:w="0" w:type="dxa"/>
                    <w:right w:w="28" w:type="dxa"/>
                  </w:tcMar>
                  <w:vAlign w:val="center"/>
                </w:tcPr>
                <w:p w14:paraId="00DEDA05">
                  <w:pPr>
                    <w:pStyle w:val="24"/>
                    <w:rPr>
                      <w:rFonts w:hint="default" w:ascii="Times New Roman" w:hAnsi="Times New Roman" w:cs="Times New Roman"/>
                      <w:b/>
                      <w:bCs/>
                      <w:sz w:val="18"/>
                      <w:szCs w:val="18"/>
                    </w:rPr>
                  </w:pPr>
                </w:p>
              </w:tc>
              <w:tc>
                <w:tcPr>
                  <w:tcW w:w="675" w:type="dxa"/>
                  <w:vMerge w:val="continue"/>
                  <w:tcBorders>
                    <w:tl2br w:val="nil"/>
                    <w:tr2bl w:val="nil"/>
                  </w:tcBorders>
                  <w:tcMar>
                    <w:top w:w="0" w:type="dxa"/>
                    <w:left w:w="28" w:type="dxa"/>
                    <w:bottom w:w="0" w:type="dxa"/>
                    <w:right w:w="28" w:type="dxa"/>
                  </w:tcMar>
                  <w:vAlign w:val="center"/>
                </w:tcPr>
                <w:p w14:paraId="3FFA3DC7">
                  <w:pPr>
                    <w:pStyle w:val="24"/>
                    <w:rPr>
                      <w:rFonts w:hint="default" w:ascii="Times New Roman" w:hAnsi="Times New Roman" w:cs="Times New Roman"/>
                      <w:b/>
                      <w:bCs/>
                      <w:sz w:val="18"/>
                      <w:szCs w:val="18"/>
                    </w:rPr>
                  </w:pPr>
                </w:p>
              </w:tc>
              <w:tc>
                <w:tcPr>
                  <w:tcW w:w="278" w:type="dxa"/>
                  <w:vMerge w:val="continue"/>
                  <w:tcBorders>
                    <w:tl2br w:val="nil"/>
                    <w:tr2bl w:val="nil"/>
                  </w:tcBorders>
                  <w:tcMar>
                    <w:top w:w="0" w:type="dxa"/>
                    <w:left w:w="28" w:type="dxa"/>
                    <w:bottom w:w="0" w:type="dxa"/>
                    <w:right w:w="28" w:type="dxa"/>
                  </w:tcMar>
                  <w:vAlign w:val="center"/>
                </w:tcPr>
                <w:p w14:paraId="68CE6E9E">
                  <w:pPr>
                    <w:pStyle w:val="24"/>
                    <w:rPr>
                      <w:rFonts w:hint="default" w:ascii="Times New Roman" w:hAnsi="Times New Roman" w:cs="Times New Roman"/>
                      <w:b/>
                      <w:bCs/>
                      <w:sz w:val="18"/>
                      <w:szCs w:val="18"/>
                    </w:rPr>
                  </w:pPr>
                </w:p>
              </w:tc>
              <w:tc>
                <w:tcPr>
                  <w:tcW w:w="332" w:type="dxa"/>
                  <w:vMerge w:val="continue"/>
                  <w:tcBorders>
                    <w:tl2br w:val="nil"/>
                    <w:tr2bl w:val="nil"/>
                  </w:tcBorders>
                  <w:tcMar>
                    <w:top w:w="0" w:type="dxa"/>
                    <w:left w:w="28" w:type="dxa"/>
                    <w:bottom w:w="0" w:type="dxa"/>
                    <w:right w:w="28" w:type="dxa"/>
                  </w:tcMar>
                  <w:vAlign w:val="center"/>
                </w:tcPr>
                <w:p w14:paraId="351F74F3">
                  <w:pPr>
                    <w:pStyle w:val="24"/>
                    <w:rPr>
                      <w:rFonts w:hint="default" w:ascii="Times New Roman" w:hAnsi="Times New Roman" w:cs="Times New Roman"/>
                      <w:b/>
                      <w:bCs/>
                      <w:sz w:val="18"/>
                      <w:szCs w:val="18"/>
                    </w:rPr>
                  </w:pPr>
                </w:p>
              </w:tc>
              <w:tc>
                <w:tcPr>
                  <w:tcW w:w="311" w:type="dxa"/>
                  <w:vMerge w:val="continue"/>
                  <w:tcBorders>
                    <w:tl2br w:val="nil"/>
                    <w:tr2bl w:val="nil"/>
                  </w:tcBorders>
                  <w:tcMar>
                    <w:top w:w="0" w:type="dxa"/>
                    <w:left w:w="28" w:type="dxa"/>
                    <w:bottom w:w="0" w:type="dxa"/>
                    <w:right w:w="28" w:type="dxa"/>
                  </w:tcMar>
                  <w:vAlign w:val="center"/>
                </w:tcPr>
                <w:p w14:paraId="5C7B38CA">
                  <w:pPr>
                    <w:pStyle w:val="24"/>
                    <w:rPr>
                      <w:rFonts w:hint="default" w:ascii="Times New Roman" w:hAnsi="Times New Roman" w:cs="Times New Roman"/>
                      <w:b/>
                      <w:bCs/>
                      <w:sz w:val="18"/>
                      <w:szCs w:val="18"/>
                    </w:rPr>
                  </w:pPr>
                </w:p>
              </w:tc>
              <w:tc>
                <w:tcPr>
                  <w:tcW w:w="354" w:type="dxa"/>
                  <w:vMerge w:val="continue"/>
                  <w:tcBorders>
                    <w:tl2br w:val="nil"/>
                    <w:tr2bl w:val="nil"/>
                  </w:tcBorders>
                  <w:tcMar>
                    <w:top w:w="0" w:type="dxa"/>
                    <w:left w:w="28" w:type="dxa"/>
                    <w:bottom w:w="0" w:type="dxa"/>
                    <w:right w:w="28" w:type="dxa"/>
                  </w:tcMar>
                  <w:vAlign w:val="center"/>
                </w:tcPr>
                <w:p w14:paraId="40161F98">
                  <w:pPr>
                    <w:pStyle w:val="24"/>
                    <w:rPr>
                      <w:rFonts w:hint="default" w:ascii="Times New Roman" w:hAnsi="Times New Roman" w:cs="Times New Roman"/>
                      <w:b/>
                      <w:bCs/>
                      <w:sz w:val="18"/>
                      <w:szCs w:val="18"/>
                    </w:rPr>
                  </w:pPr>
                </w:p>
              </w:tc>
              <w:tc>
                <w:tcPr>
                  <w:tcW w:w="510" w:type="dxa"/>
                  <w:tcBorders>
                    <w:tl2br w:val="nil"/>
                    <w:tr2bl w:val="nil"/>
                  </w:tcBorders>
                  <w:tcMar>
                    <w:top w:w="0" w:type="dxa"/>
                    <w:left w:w="28" w:type="dxa"/>
                    <w:bottom w:w="0" w:type="dxa"/>
                    <w:right w:w="28" w:type="dxa"/>
                  </w:tcMar>
                  <w:vAlign w:val="center"/>
                </w:tcPr>
                <w:p w14:paraId="106AB904">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排放废水量(</w:t>
                  </w:r>
                  <w:r>
                    <w:rPr>
                      <w:rFonts w:hint="default" w:ascii="Times New Roman" w:hAnsi="Times New Roman" w:cs="Times New Roman"/>
                      <w:b/>
                      <w:bCs/>
                      <w:sz w:val="18"/>
                      <w:szCs w:val="18"/>
                      <w:lang w:val="en-US" w:eastAsia="zh-CN"/>
                    </w:rPr>
                    <w:t>t</w:t>
                  </w:r>
                  <w:r>
                    <w:rPr>
                      <w:rFonts w:hint="default" w:ascii="Times New Roman" w:hAnsi="Times New Roman" w:cs="Times New Roman"/>
                      <w:b/>
                      <w:bCs/>
                      <w:sz w:val="18"/>
                      <w:szCs w:val="18"/>
                    </w:rPr>
                    <w:t>/a)</w:t>
                  </w:r>
                </w:p>
              </w:tc>
              <w:tc>
                <w:tcPr>
                  <w:tcW w:w="615" w:type="dxa"/>
                  <w:tcBorders>
                    <w:tl2br w:val="nil"/>
                    <w:tr2bl w:val="nil"/>
                  </w:tcBorders>
                  <w:tcMar>
                    <w:top w:w="0" w:type="dxa"/>
                    <w:left w:w="28" w:type="dxa"/>
                    <w:bottom w:w="0" w:type="dxa"/>
                    <w:right w:w="28" w:type="dxa"/>
                  </w:tcMar>
                  <w:vAlign w:val="center"/>
                </w:tcPr>
                <w:p w14:paraId="4AE8DA14">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排放浓度(mg/L)</w:t>
                  </w:r>
                </w:p>
              </w:tc>
              <w:tc>
                <w:tcPr>
                  <w:tcW w:w="660" w:type="dxa"/>
                  <w:tcBorders>
                    <w:tl2br w:val="nil"/>
                    <w:tr2bl w:val="nil"/>
                  </w:tcBorders>
                  <w:tcMar>
                    <w:top w:w="0" w:type="dxa"/>
                    <w:left w:w="28" w:type="dxa"/>
                    <w:bottom w:w="0" w:type="dxa"/>
                    <w:right w:w="28" w:type="dxa"/>
                  </w:tcMar>
                  <w:vAlign w:val="center"/>
                </w:tcPr>
                <w:p w14:paraId="52EC0831">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排放量(t/a)</w:t>
                  </w:r>
                </w:p>
              </w:tc>
              <w:tc>
                <w:tcPr>
                  <w:tcW w:w="480" w:type="dxa"/>
                  <w:tcBorders>
                    <w:tl2br w:val="nil"/>
                    <w:tr2bl w:val="nil"/>
                  </w:tcBorders>
                  <w:tcMar>
                    <w:top w:w="0" w:type="dxa"/>
                    <w:left w:w="28" w:type="dxa"/>
                    <w:bottom w:w="0" w:type="dxa"/>
                    <w:right w:w="28" w:type="dxa"/>
                  </w:tcMar>
                  <w:vAlign w:val="center"/>
                </w:tcPr>
                <w:p w14:paraId="748E0437">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排放浓度(mg/L)</w:t>
                  </w:r>
                </w:p>
              </w:tc>
              <w:tc>
                <w:tcPr>
                  <w:tcW w:w="646" w:type="dxa"/>
                  <w:tcBorders>
                    <w:tl2br w:val="nil"/>
                    <w:tr2bl w:val="nil"/>
                  </w:tcBorders>
                  <w:tcMar>
                    <w:top w:w="0" w:type="dxa"/>
                    <w:left w:w="28" w:type="dxa"/>
                    <w:bottom w:w="0" w:type="dxa"/>
                    <w:right w:w="28" w:type="dxa"/>
                  </w:tcMar>
                  <w:vAlign w:val="center"/>
                </w:tcPr>
                <w:p w14:paraId="0112E67F">
                  <w:pPr>
                    <w:pStyle w:val="24"/>
                    <w:rPr>
                      <w:rFonts w:hint="default" w:ascii="Times New Roman" w:hAnsi="Times New Roman" w:cs="Times New Roman"/>
                      <w:b/>
                      <w:bCs/>
                      <w:sz w:val="18"/>
                      <w:szCs w:val="18"/>
                    </w:rPr>
                  </w:pPr>
                  <w:r>
                    <w:rPr>
                      <w:rFonts w:hint="default" w:ascii="Times New Roman" w:hAnsi="Times New Roman" w:cs="Times New Roman"/>
                      <w:b/>
                      <w:bCs/>
                      <w:sz w:val="18"/>
                      <w:szCs w:val="18"/>
                    </w:rPr>
                    <w:t>排放量(t/a)</w:t>
                  </w:r>
                </w:p>
              </w:tc>
              <w:tc>
                <w:tcPr>
                  <w:tcW w:w="283" w:type="dxa"/>
                  <w:vMerge w:val="continue"/>
                  <w:tcBorders>
                    <w:tl2br w:val="nil"/>
                    <w:tr2bl w:val="nil"/>
                  </w:tcBorders>
                  <w:tcMar>
                    <w:top w:w="0" w:type="dxa"/>
                    <w:left w:w="28" w:type="dxa"/>
                    <w:bottom w:w="0" w:type="dxa"/>
                    <w:right w:w="28" w:type="dxa"/>
                  </w:tcMar>
                  <w:vAlign w:val="center"/>
                </w:tcPr>
                <w:p w14:paraId="70B3AB72">
                  <w:pPr>
                    <w:pStyle w:val="24"/>
                    <w:rPr>
                      <w:rFonts w:hint="default" w:ascii="Times New Roman" w:hAnsi="Times New Roman" w:cs="Times New Roman"/>
                      <w:b/>
                      <w:bCs/>
                      <w:sz w:val="18"/>
                      <w:szCs w:val="18"/>
                    </w:rPr>
                  </w:pPr>
                </w:p>
              </w:tc>
              <w:tc>
                <w:tcPr>
                  <w:tcW w:w="283" w:type="dxa"/>
                  <w:vMerge w:val="continue"/>
                  <w:tcBorders>
                    <w:tl2br w:val="nil"/>
                    <w:tr2bl w:val="nil"/>
                  </w:tcBorders>
                  <w:tcMar>
                    <w:top w:w="0" w:type="dxa"/>
                    <w:left w:w="28" w:type="dxa"/>
                    <w:bottom w:w="0" w:type="dxa"/>
                    <w:right w:w="28" w:type="dxa"/>
                  </w:tcMar>
                  <w:vAlign w:val="center"/>
                </w:tcPr>
                <w:p w14:paraId="754DD2D9">
                  <w:pPr>
                    <w:pStyle w:val="24"/>
                    <w:rPr>
                      <w:rFonts w:hint="default" w:ascii="Times New Roman" w:hAnsi="Times New Roman" w:cs="Times New Roman"/>
                      <w:b/>
                      <w:bCs/>
                      <w:sz w:val="18"/>
                      <w:szCs w:val="18"/>
                    </w:rPr>
                  </w:pPr>
                </w:p>
              </w:tc>
              <w:tc>
                <w:tcPr>
                  <w:tcW w:w="334" w:type="dxa"/>
                  <w:vMerge w:val="continue"/>
                  <w:tcBorders>
                    <w:tl2br w:val="nil"/>
                    <w:tr2bl w:val="nil"/>
                  </w:tcBorders>
                  <w:tcMar>
                    <w:top w:w="0" w:type="dxa"/>
                    <w:left w:w="28" w:type="dxa"/>
                    <w:bottom w:w="0" w:type="dxa"/>
                    <w:right w:w="28" w:type="dxa"/>
                  </w:tcMar>
                  <w:vAlign w:val="center"/>
                </w:tcPr>
                <w:p w14:paraId="15B3EB46">
                  <w:pPr>
                    <w:pStyle w:val="24"/>
                    <w:rPr>
                      <w:rFonts w:hint="default" w:ascii="Times New Roman" w:hAnsi="Times New Roman" w:cs="Times New Roman"/>
                      <w:b/>
                      <w:bCs/>
                      <w:sz w:val="18"/>
                      <w:szCs w:val="18"/>
                    </w:rPr>
                  </w:pPr>
                </w:p>
              </w:tc>
              <w:tc>
                <w:tcPr>
                  <w:tcW w:w="719" w:type="dxa"/>
                  <w:vMerge w:val="continue"/>
                  <w:tcBorders>
                    <w:tl2br w:val="nil"/>
                    <w:tr2bl w:val="nil"/>
                  </w:tcBorders>
                  <w:tcMar>
                    <w:top w:w="0" w:type="dxa"/>
                    <w:left w:w="28" w:type="dxa"/>
                    <w:bottom w:w="0" w:type="dxa"/>
                    <w:right w:w="28" w:type="dxa"/>
                  </w:tcMar>
                  <w:vAlign w:val="center"/>
                </w:tcPr>
                <w:p w14:paraId="4B92BDBB">
                  <w:pPr>
                    <w:pStyle w:val="24"/>
                    <w:rPr>
                      <w:rFonts w:hint="default" w:ascii="Times New Roman" w:hAnsi="Times New Roman" w:cs="Times New Roman"/>
                      <w:b/>
                      <w:bCs/>
                      <w:sz w:val="18"/>
                      <w:szCs w:val="18"/>
                    </w:rPr>
                  </w:pPr>
                </w:p>
              </w:tc>
              <w:tc>
                <w:tcPr>
                  <w:tcW w:w="240" w:type="dxa"/>
                  <w:vMerge w:val="continue"/>
                  <w:tcBorders>
                    <w:tl2br w:val="nil"/>
                    <w:tr2bl w:val="nil"/>
                  </w:tcBorders>
                  <w:tcMar>
                    <w:top w:w="0" w:type="dxa"/>
                    <w:left w:w="28" w:type="dxa"/>
                    <w:bottom w:w="0" w:type="dxa"/>
                    <w:right w:w="28" w:type="dxa"/>
                  </w:tcMar>
                  <w:vAlign w:val="center"/>
                </w:tcPr>
                <w:p w14:paraId="296C9267">
                  <w:pPr>
                    <w:pStyle w:val="24"/>
                    <w:rPr>
                      <w:rFonts w:hint="default" w:ascii="Times New Roman" w:hAnsi="Times New Roman" w:cs="Times New Roman"/>
                      <w:b/>
                      <w:bCs/>
                      <w:sz w:val="18"/>
                      <w:szCs w:val="18"/>
                    </w:rPr>
                  </w:pPr>
                </w:p>
              </w:tc>
              <w:tc>
                <w:tcPr>
                  <w:tcW w:w="336" w:type="dxa"/>
                  <w:vMerge w:val="continue"/>
                  <w:tcBorders>
                    <w:tl2br w:val="nil"/>
                    <w:tr2bl w:val="nil"/>
                  </w:tcBorders>
                  <w:tcMar>
                    <w:top w:w="0" w:type="dxa"/>
                    <w:left w:w="28" w:type="dxa"/>
                    <w:bottom w:w="0" w:type="dxa"/>
                    <w:right w:w="28" w:type="dxa"/>
                  </w:tcMar>
                  <w:vAlign w:val="center"/>
                </w:tcPr>
                <w:p w14:paraId="1167F593">
                  <w:pPr>
                    <w:pStyle w:val="24"/>
                    <w:rPr>
                      <w:rFonts w:hint="default" w:ascii="Times New Roman" w:hAnsi="Times New Roman" w:cs="Times New Roman"/>
                      <w:b/>
                      <w:bCs/>
                      <w:sz w:val="18"/>
                      <w:szCs w:val="18"/>
                    </w:rPr>
                  </w:pPr>
                </w:p>
              </w:tc>
              <w:tc>
                <w:tcPr>
                  <w:tcW w:w="364" w:type="dxa"/>
                  <w:vMerge w:val="continue"/>
                  <w:tcBorders>
                    <w:tl2br w:val="nil"/>
                    <w:tr2bl w:val="nil"/>
                  </w:tcBorders>
                  <w:tcMar>
                    <w:top w:w="0" w:type="dxa"/>
                    <w:left w:w="28" w:type="dxa"/>
                    <w:bottom w:w="0" w:type="dxa"/>
                    <w:right w:w="28" w:type="dxa"/>
                  </w:tcMar>
                  <w:vAlign w:val="center"/>
                </w:tcPr>
                <w:p w14:paraId="2A3B1613">
                  <w:pPr>
                    <w:pStyle w:val="24"/>
                    <w:rPr>
                      <w:rFonts w:hint="default" w:ascii="Times New Roman" w:hAnsi="Times New Roman" w:cs="Times New Roman"/>
                      <w:b/>
                      <w:bCs/>
                      <w:sz w:val="18"/>
                      <w:szCs w:val="18"/>
                    </w:rPr>
                  </w:pPr>
                </w:p>
              </w:tc>
              <w:tc>
                <w:tcPr>
                  <w:tcW w:w="1061" w:type="dxa"/>
                  <w:vMerge w:val="continue"/>
                  <w:tcBorders>
                    <w:tl2br w:val="nil"/>
                    <w:tr2bl w:val="nil"/>
                  </w:tcBorders>
                  <w:tcMar>
                    <w:top w:w="0" w:type="dxa"/>
                    <w:left w:w="28" w:type="dxa"/>
                    <w:bottom w:w="0" w:type="dxa"/>
                    <w:right w:w="28" w:type="dxa"/>
                  </w:tcMar>
                  <w:vAlign w:val="center"/>
                </w:tcPr>
                <w:p w14:paraId="4BFBDDFF">
                  <w:pPr>
                    <w:pStyle w:val="24"/>
                    <w:rPr>
                      <w:rFonts w:hint="default" w:ascii="Times New Roman" w:hAnsi="Times New Roman" w:cs="Times New Roman"/>
                      <w:b/>
                      <w:bCs/>
                      <w:sz w:val="18"/>
                      <w:szCs w:val="18"/>
                    </w:rPr>
                  </w:pPr>
                </w:p>
              </w:tc>
              <w:tc>
                <w:tcPr>
                  <w:tcW w:w="439" w:type="dxa"/>
                  <w:vMerge w:val="continue"/>
                  <w:tcBorders>
                    <w:tl2br w:val="nil"/>
                    <w:tr2bl w:val="nil"/>
                  </w:tcBorders>
                  <w:tcMar>
                    <w:top w:w="0" w:type="dxa"/>
                    <w:left w:w="28" w:type="dxa"/>
                    <w:bottom w:w="0" w:type="dxa"/>
                    <w:right w:w="28" w:type="dxa"/>
                  </w:tcMar>
                  <w:vAlign w:val="center"/>
                </w:tcPr>
                <w:p w14:paraId="1A834718">
                  <w:pPr>
                    <w:pStyle w:val="24"/>
                    <w:rPr>
                      <w:rFonts w:hint="default" w:ascii="Times New Roman" w:hAnsi="Times New Roman" w:cs="Times New Roman"/>
                      <w:b/>
                      <w:bCs/>
                      <w:sz w:val="18"/>
                      <w:szCs w:val="18"/>
                    </w:rPr>
                  </w:pPr>
                </w:p>
              </w:tc>
              <w:tc>
                <w:tcPr>
                  <w:tcW w:w="343" w:type="dxa"/>
                  <w:vMerge w:val="continue"/>
                  <w:tcBorders>
                    <w:tl2br w:val="nil"/>
                    <w:tr2bl w:val="nil"/>
                  </w:tcBorders>
                  <w:tcMar>
                    <w:top w:w="0" w:type="dxa"/>
                    <w:left w:w="28" w:type="dxa"/>
                    <w:bottom w:w="0" w:type="dxa"/>
                    <w:right w:w="28" w:type="dxa"/>
                  </w:tcMar>
                  <w:vAlign w:val="center"/>
                </w:tcPr>
                <w:p w14:paraId="741B9A3E">
                  <w:pPr>
                    <w:pStyle w:val="24"/>
                    <w:rPr>
                      <w:rFonts w:hint="default" w:ascii="Times New Roman" w:hAnsi="Times New Roman" w:cs="Times New Roman"/>
                      <w:b/>
                      <w:bCs/>
                      <w:sz w:val="18"/>
                      <w:szCs w:val="18"/>
                    </w:rPr>
                  </w:pPr>
                </w:p>
              </w:tc>
              <w:tc>
                <w:tcPr>
                  <w:tcW w:w="829" w:type="dxa"/>
                  <w:vMerge w:val="continue"/>
                  <w:tcBorders>
                    <w:tl2br w:val="nil"/>
                    <w:tr2bl w:val="nil"/>
                  </w:tcBorders>
                  <w:tcMar>
                    <w:top w:w="0" w:type="dxa"/>
                    <w:left w:w="28" w:type="dxa"/>
                    <w:bottom w:w="0" w:type="dxa"/>
                    <w:right w:w="28" w:type="dxa"/>
                  </w:tcMar>
                  <w:vAlign w:val="center"/>
                </w:tcPr>
                <w:p w14:paraId="34694494">
                  <w:pPr>
                    <w:pStyle w:val="24"/>
                    <w:rPr>
                      <w:rFonts w:hint="default" w:ascii="Times New Roman" w:hAnsi="Times New Roman" w:cs="Times New Roman"/>
                      <w:b/>
                      <w:bCs/>
                      <w:sz w:val="18"/>
                      <w:szCs w:val="18"/>
                    </w:rPr>
                  </w:pPr>
                </w:p>
              </w:tc>
              <w:tc>
                <w:tcPr>
                  <w:tcW w:w="333" w:type="dxa"/>
                  <w:vMerge w:val="continue"/>
                  <w:tcBorders>
                    <w:tl2br w:val="nil"/>
                    <w:tr2bl w:val="nil"/>
                  </w:tcBorders>
                  <w:tcMar>
                    <w:top w:w="0" w:type="dxa"/>
                    <w:left w:w="28" w:type="dxa"/>
                    <w:bottom w:w="0" w:type="dxa"/>
                    <w:right w:w="28" w:type="dxa"/>
                  </w:tcMar>
                  <w:vAlign w:val="center"/>
                </w:tcPr>
                <w:p w14:paraId="5749E0B7">
                  <w:pPr>
                    <w:pStyle w:val="24"/>
                    <w:rPr>
                      <w:rFonts w:hint="default" w:ascii="Times New Roman" w:hAnsi="Times New Roman" w:cs="Times New Roman"/>
                      <w:b/>
                      <w:bCs/>
                      <w:sz w:val="18"/>
                      <w:szCs w:val="18"/>
                    </w:rPr>
                  </w:pPr>
                </w:p>
              </w:tc>
              <w:tc>
                <w:tcPr>
                  <w:tcW w:w="501" w:type="dxa"/>
                  <w:vMerge w:val="continue"/>
                  <w:tcBorders>
                    <w:tl2br w:val="nil"/>
                    <w:tr2bl w:val="nil"/>
                  </w:tcBorders>
                  <w:tcMar>
                    <w:top w:w="0" w:type="dxa"/>
                    <w:left w:w="28" w:type="dxa"/>
                    <w:bottom w:w="0" w:type="dxa"/>
                    <w:right w:w="28" w:type="dxa"/>
                  </w:tcMar>
                  <w:vAlign w:val="center"/>
                </w:tcPr>
                <w:p w14:paraId="44B56D7D">
                  <w:pPr>
                    <w:pStyle w:val="24"/>
                    <w:rPr>
                      <w:rFonts w:hint="default" w:ascii="Times New Roman" w:hAnsi="Times New Roman" w:cs="Times New Roman"/>
                      <w:b/>
                      <w:bCs/>
                      <w:sz w:val="18"/>
                      <w:szCs w:val="18"/>
                    </w:rPr>
                  </w:pPr>
                </w:p>
              </w:tc>
            </w:tr>
            <w:tr w14:paraId="3852A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10" w:type="dxa"/>
                  <w:gridSpan w:val="2"/>
                  <w:vMerge w:val="restart"/>
                  <w:tcBorders>
                    <w:tl2br w:val="nil"/>
                    <w:tr2bl w:val="nil"/>
                  </w:tcBorders>
                  <w:tcMar>
                    <w:top w:w="0" w:type="dxa"/>
                    <w:left w:w="28" w:type="dxa"/>
                    <w:bottom w:w="0" w:type="dxa"/>
                    <w:right w:w="28" w:type="dxa"/>
                  </w:tcMar>
                  <w:vAlign w:val="center"/>
                </w:tcPr>
                <w:p w14:paraId="0DC68298">
                  <w:pPr>
                    <w:pStyle w:val="24"/>
                    <w:rPr>
                      <w:rFonts w:hint="default" w:ascii="Times New Roman" w:hAnsi="Times New Roman" w:cs="Times New Roman"/>
                      <w:sz w:val="18"/>
                      <w:szCs w:val="18"/>
                    </w:rPr>
                  </w:pPr>
                  <w:r>
                    <w:rPr>
                      <w:rFonts w:hint="default" w:ascii="Times New Roman" w:hAnsi="Times New Roman" w:cs="Times New Roman"/>
                      <w:sz w:val="18"/>
                      <w:szCs w:val="18"/>
                    </w:rPr>
                    <w:t>生活污水</w:t>
                  </w:r>
                </w:p>
              </w:tc>
              <w:tc>
                <w:tcPr>
                  <w:tcW w:w="568" w:type="dxa"/>
                  <w:tcBorders>
                    <w:tl2br w:val="nil"/>
                    <w:tr2bl w:val="nil"/>
                  </w:tcBorders>
                  <w:tcMar>
                    <w:top w:w="0" w:type="dxa"/>
                    <w:left w:w="28" w:type="dxa"/>
                    <w:bottom w:w="0" w:type="dxa"/>
                    <w:right w:w="28" w:type="dxa"/>
                  </w:tcMar>
                  <w:vAlign w:val="center"/>
                </w:tcPr>
                <w:p w14:paraId="4D17752F">
                  <w:pPr>
                    <w:pStyle w:val="24"/>
                    <w:rPr>
                      <w:rFonts w:hint="default" w:ascii="Times New Roman" w:hAnsi="Times New Roman" w:cs="Times New Roman"/>
                      <w:sz w:val="18"/>
                      <w:szCs w:val="18"/>
                    </w:rPr>
                  </w:pPr>
                  <w:r>
                    <w:rPr>
                      <w:rFonts w:hint="default" w:ascii="Times New Roman" w:hAnsi="Times New Roman" w:cs="Times New Roman"/>
                      <w:sz w:val="18"/>
                      <w:szCs w:val="18"/>
                    </w:rPr>
                    <w:t>pH</w:t>
                  </w:r>
                </w:p>
              </w:tc>
              <w:tc>
                <w:tcPr>
                  <w:tcW w:w="330" w:type="dxa"/>
                  <w:vMerge w:val="restart"/>
                  <w:tcBorders>
                    <w:tl2br w:val="nil"/>
                    <w:tr2bl w:val="nil"/>
                  </w:tcBorders>
                  <w:tcMar>
                    <w:top w:w="0" w:type="dxa"/>
                    <w:left w:w="28" w:type="dxa"/>
                    <w:bottom w:w="0" w:type="dxa"/>
                    <w:right w:w="28" w:type="dxa"/>
                  </w:tcMar>
                  <w:vAlign w:val="center"/>
                </w:tcPr>
                <w:p w14:paraId="40596B00">
                  <w:pPr>
                    <w:pStyle w:val="24"/>
                    <w:rPr>
                      <w:rFonts w:hint="default" w:ascii="Times New Roman" w:hAnsi="Times New Roman" w:cs="Times New Roman"/>
                      <w:sz w:val="18"/>
                      <w:szCs w:val="18"/>
                    </w:rPr>
                  </w:pPr>
                  <w:r>
                    <w:rPr>
                      <w:rFonts w:hint="default" w:ascii="Times New Roman" w:hAnsi="Times New Roman" w:cs="Times New Roman"/>
                      <w:sz w:val="18"/>
                      <w:szCs w:val="18"/>
                    </w:rPr>
                    <w:t>类比法</w:t>
                  </w:r>
                </w:p>
              </w:tc>
              <w:tc>
                <w:tcPr>
                  <w:tcW w:w="420" w:type="dxa"/>
                  <w:vMerge w:val="restart"/>
                  <w:tcBorders>
                    <w:tl2br w:val="nil"/>
                    <w:tr2bl w:val="nil"/>
                  </w:tcBorders>
                  <w:tcMar>
                    <w:top w:w="0" w:type="dxa"/>
                    <w:left w:w="28" w:type="dxa"/>
                    <w:bottom w:w="0" w:type="dxa"/>
                    <w:right w:w="28" w:type="dxa"/>
                  </w:tcMar>
                  <w:vAlign w:val="center"/>
                </w:tcPr>
                <w:p w14:paraId="6E89C9D0">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1440</w:t>
                  </w:r>
                </w:p>
              </w:tc>
              <w:tc>
                <w:tcPr>
                  <w:tcW w:w="472" w:type="dxa"/>
                  <w:tcBorders>
                    <w:tl2br w:val="nil"/>
                    <w:tr2bl w:val="nil"/>
                  </w:tcBorders>
                  <w:tcMar>
                    <w:top w:w="0" w:type="dxa"/>
                    <w:left w:w="28" w:type="dxa"/>
                    <w:bottom w:w="0" w:type="dxa"/>
                    <w:right w:w="28" w:type="dxa"/>
                  </w:tcMar>
                  <w:vAlign w:val="center"/>
                </w:tcPr>
                <w:p w14:paraId="7D1EB4B6">
                  <w:pPr>
                    <w:pStyle w:val="24"/>
                    <w:rPr>
                      <w:rFonts w:hint="default" w:ascii="Times New Roman" w:hAnsi="Times New Roman" w:cs="Times New Roman"/>
                      <w:sz w:val="18"/>
                      <w:szCs w:val="18"/>
                    </w:rPr>
                  </w:pPr>
                  <w:r>
                    <w:rPr>
                      <w:rFonts w:hint="default" w:ascii="Times New Roman" w:hAnsi="Times New Roman" w:cs="Times New Roman"/>
                      <w:sz w:val="18"/>
                      <w:szCs w:val="18"/>
                    </w:rPr>
                    <w:t>6-9</w:t>
                  </w:r>
                </w:p>
              </w:tc>
              <w:tc>
                <w:tcPr>
                  <w:tcW w:w="675" w:type="dxa"/>
                  <w:tcBorders>
                    <w:tl2br w:val="nil"/>
                    <w:tr2bl w:val="nil"/>
                  </w:tcBorders>
                  <w:tcMar>
                    <w:top w:w="0" w:type="dxa"/>
                    <w:left w:w="28" w:type="dxa"/>
                    <w:bottom w:w="0" w:type="dxa"/>
                    <w:right w:w="28" w:type="dxa"/>
                  </w:tcMar>
                  <w:vAlign w:val="center"/>
                </w:tcPr>
                <w:p w14:paraId="3B81F006">
                  <w:pPr>
                    <w:pStyle w:val="24"/>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w:t>
                  </w:r>
                </w:p>
              </w:tc>
              <w:tc>
                <w:tcPr>
                  <w:tcW w:w="278" w:type="dxa"/>
                  <w:vMerge w:val="restart"/>
                  <w:tcBorders>
                    <w:tl2br w:val="nil"/>
                    <w:tr2bl w:val="nil"/>
                  </w:tcBorders>
                  <w:tcMar>
                    <w:top w:w="0" w:type="dxa"/>
                    <w:left w:w="28" w:type="dxa"/>
                    <w:bottom w:w="0" w:type="dxa"/>
                    <w:right w:w="28" w:type="dxa"/>
                  </w:tcMar>
                  <w:vAlign w:val="center"/>
                </w:tcPr>
                <w:p w14:paraId="7AEA938E">
                  <w:pPr>
                    <w:pStyle w:val="24"/>
                    <w:rPr>
                      <w:rFonts w:hint="default" w:ascii="Times New Roman" w:hAnsi="Times New Roman" w:cs="Times New Roman"/>
                      <w:sz w:val="18"/>
                      <w:szCs w:val="18"/>
                    </w:rPr>
                  </w:pPr>
                </w:p>
                <w:p w14:paraId="6AEDC3C8">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30</w:t>
                  </w:r>
                </w:p>
              </w:tc>
              <w:tc>
                <w:tcPr>
                  <w:tcW w:w="332" w:type="dxa"/>
                  <w:vMerge w:val="restart"/>
                  <w:tcBorders>
                    <w:tl2br w:val="nil"/>
                    <w:tr2bl w:val="nil"/>
                  </w:tcBorders>
                  <w:tcMar>
                    <w:top w:w="0" w:type="dxa"/>
                    <w:left w:w="28" w:type="dxa"/>
                    <w:bottom w:w="0" w:type="dxa"/>
                    <w:right w:w="28" w:type="dxa"/>
                  </w:tcMar>
                  <w:vAlign w:val="center"/>
                </w:tcPr>
                <w:p w14:paraId="6865B8DA">
                  <w:pPr>
                    <w:pStyle w:val="24"/>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化粪池</w:t>
                  </w:r>
                  <w:r>
                    <w:rPr>
                      <w:rFonts w:hint="eastAsia" w:ascii="Times New Roman" w:hAnsi="Times New Roman" w:cs="Times New Roman"/>
                      <w:sz w:val="18"/>
                      <w:szCs w:val="18"/>
                      <w:lang w:val="en-US" w:eastAsia="zh-CN"/>
                    </w:rPr>
                    <w:t>.厌氧处理法</w:t>
                  </w:r>
                </w:p>
              </w:tc>
              <w:tc>
                <w:tcPr>
                  <w:tcW w:w="311" w:type="dxa"/>
                  <w:tcBorders>
                    <w:tl2br w:val="nil"/>
                    <w:tr2bl w:val="nil"/>
                  </w:tcBorders>
                  <w:tcMar>
                    <w:top w:w="0" w:type="dxa"/>
                    <w:left w:w="28" w:type="dxa"/>
                    <w:bottom w:w="0" w:type="dxa"/>
                    <w:right w:w="28" w:type="dxa"/>
                  </w:tcMar>
                  <w:vAlign w:val="center"/>
                </w:tcPr>
                <w:p w14:paraId="79A82B21">
                  <w:pPr>
                    <w:pStyle w:val="24"/>
                    <w:rPr>
                      <w:rFonts w:hint="default" w:ascii="Times New Roman" w:hAnsi="Times New Roman" w:cs="Times New Roman"/>
                      <w:sz w:val="18"/>
                      <w:szCs w:val="18"/>
                    </w:rPr>
                  </w:pPr>
                  <w:r>
                    <w:rPr>
                      <w:rFonts w:hint="default" w:ascii="Times New Roman" w:hAnsi="Times New Roman" w:cs="Times New Roman"/>
                      <w:sz w:val="18"/>
                      <w:szCs w:val="18"/>
                    </w:rPr>
                    <w:t>0</w:t>
                  </w:r>
                </w:p>
              </w:tc>
              <w:tc>
                <w:tcPr>
                  <w:tcW w:w="354" w:type="dxa"/>
                  <w:vMerge w:val="restart"/>
                  <w:tcBorders>
                    <w:tl2br w:val="nil"/>
                    <w:tr2bl w:val="nil"/>
                  </w:tcBorders>
                  <w:tcMar>
                    <w:top w:w="0" w:type="dxa"/>
                    <w:left w:w="28" w:type="dxa"/>
                    <w:bottom w:w="0" w:type="dxa"/>
                    <w:right w:w="28" w:type="dxa"/>
                  </w:tcMar>
                  <w:vAlign w:val="center"/>
                </w:tcPr>
                <w:p w14:paraId="6B50DFBE">
                  <w:pPr>
                    <w:pStyle w:val="24"/>
                    <w:rPr>
                      <w:rFonts w:hint="default" w:ascii="Times New Roman" w:hAnsi="Times New Roman" w:cs="Times New Roman"/>
                      <w:sz w:val="18"/>
                      <w:szCs w:val="18"/>
                    </w:rPr>
                  </w:pPr>
                  <w:r>
                    <w:rPr>
                      <w:rFonts w:hint="default" w:ascii="Times New Roman" w:hAnsi="Times New Roman" w:cs="Times New Roman"/>
                      <w:sz w:val="18"/>
                      <w:szCs w:val="18"/>
                    </w:rPr>
                    <w:t>是</w:t>
                  </w:r>
                </w:p>
              </w:tc>
              <w:tc>
                <w:tcPr>
                  <w:tcW w:w="510" w:type="dxa"/>
                  <w:vMerge w:val="restart"/>
                  <w:tcBorders>
                    <w:tl2br w:val="nil"/>
                    <w:tr2bl w:val="nil"/>
                  </w:tcBorders>
                  <w:tcMar>
                    <w:top w:w="0" w:type="dxa"/>
                    <w:left w:w="28" w:type="dxa"/>
                    <w:bottom w:w="0" w:type="dxa"/>
                    <w:right w:w="28" w:type="dxa"/>
                  </w:tcMar>
                  <w:vAlign w:val="center"/>
                </w:tcPr>
                <w:p w14:paraId="3CE042DB">
                  <w:pPr>
                    <w:pStyle w:val="24"/>
                    <w:rPr>
                      <w:rFonts w:hint="default" w:ascii="Times New Roman" w:hAnsi="Times New Roman" w:cs="Times New Roman"/>
                      <w:sz w:val="18"/>
                      <w:szCs w:val="18"/>
                      <w:lang w:val="en-US"/>
                    </w:rPr>
                  </w:pPr>
                  <w:r>
                    <w:rPr>
                      <w:rFonts w:hint="eastAsia" w:ascii="Times New Roman" w:hAnsi="Times New Roman" w:cs="Times New Roman"/>
                      <w:sz w:val="18"/>
                      <w:szCs w:val="18"/>
                      <w:lang w:val="en-US" w:eastAsia="zh-CN"/>
                    </w:rPr>
                    <w:t>1440</w:t>
                  </w:r>
                </w:p>
              </w:tc>
              <w:tc>
                <w:tcPr>
                  <w:tcW w:w="615" w:type="dxa"/>
                  <w:tcBorders>
                    <w:tl2br w:val="nil"/>
                    <w:tr2bl w:val="nil"/>
                  </w:tcBorders>
                  <w:tcMar>
                    <w:top w:w="0" w:type="dxa"/>
                    <w:left w:w="28" w:type="dxa"/>
                    <w:bottom w:w="0" w:type="dxa"/>
                    <w:right w:w="28" w:type="dxa"/>
                  </w:tcMar>
                  <w:vAlign w:val="center"/>
                </w:tcPr>
                <w:p w14:paraId="4A0FC9D5">
                  <w:pPr>
                    <w:pStyle w:val="24"/>
                    <w:rPr>
                      <w:rFonts w:hint="default" w:ascii="Times New Roman" w:hAnsi="Times New Roman" w:cs="Times New Roman"/>
                      <w:sz w:val="18"/>
                      <w:szCs w:val="18"/>
                    </w:rPr>
                  </w:pPr>
                  <w:r>
                    <w:rPr>
                      <w:rFonts w:hint="default" w:ascii="Times New Roman" w:hAnsi="Times New Roman" w:cs="Times New Roman"/>
                      <w:sz w:val="18"/>
                      <w:szCs w:val="18"/>
                    </w:rPr>
                    <w:t>6-9</w:t>
                  </w:r>
                </w:p>
              </w:tc>
              <w:tc>
                <w:tcPr>
                  <w:tcW w:w="660" w:type="dxa"/>
                  <w:tcBorders>
                    <w:tl2br w:val="nil"/>
                    <w:tr2bl w:val="nil"/>
                  </w:tcBorders>
                  <w:tcMar>
                    <w:top w:w="0" w:type="dxa"/>
                    <w:left w:w="28" w:type="dxa"/>
                    <w:bottom w:w="0" w:type="dxa"/>
                    <w:right w:w="28" w:type="dxa"/>
                  </w:tcMar>
                  <w:vAlign w:val="center"/>
                </w:tcPr>
                <w:p w14:paraId="30A99948">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480" w:type="dxa"/>
                  <w:tcBorders>
                    <w:tl2br w:val="nil"/>
                    <w:tr2bl w:val="nil"/>
                  </w:tcBorders>
                  <w:tcMar>
                    <w:top w:w="0" w:type="dxa"/>
                    <w:left w:w="28" w:type="dxa"/>
                    <w:bottom w:w="0" w:type="dxa"/>
                    <w:right w:w="28" w:type="dxa"/>
                  </w:tcMar>
                  <w:vAlign w:val="center"/>
                </w:tcPr>
                <w:p w14:paraId="5BE72C81">
                  <w:pPr>
                    <w:pStyle w:val="24"/>
                    <w:rPr>
                      <w:rFonts w:hint="default" w:ascii="Times New Roman" w:hAnsi="Times New Roman" w:cs="Times New Roman"/>
                      <w:sz w:val="18"/>
                      <w:szCs w:val="18"/>
                    </w:rPr>
                  </w:pPr>
                  <w:r>
                    <w:rPr>
                      <w:rFonts w:hint="default" w:ascii="Times New Roman" w:hAnsi="Times New Roman" w:cs="Times New Roman"/>
                      <w:sz w:val="18"/>
                      <w:szCs w:val="18"/>
                    </w:rPr>
                    <w:t>6-9</w:t>
                  </w:r>
                </w:p>
              </w:tc>
              <w:tc>
                <w:tcPr>
                  <w:tcW w:w="646" w:type="dxa"/>
                  <w:tcBorders>
                    <w:tl2br w:val="nil"/>
                    <w:tr2bl w:val="nil"/>
                  </w:tcBorders>
                  <w:tcMar>
                    <w:top w:w="0" w:type="dxa"/>
                    <w:left w:w="28" w:type="dxa"/>
                    <w:bottom w:w="0" w:type="dxa"/>
                    <w:right w:w="28" w:type="dxa"/>
                  </w:tcMar>
                  <w:vAlign w:val="center"/>
                </w:tcPr>
                <w:p w14:paraId="5E5B1D68">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283" w:type="dxa"/>
                  <w:vMerge w:val="restart"/>
                  <w:tcBorders>
                    <w:tl2br w:val="nil"/>
                    <w:tr2bl w:val="nil"/>
                  </w:tcBorders>
                  <w:tcMar>
                    <w:top w:w="0" w:type="dxa"/>
                    <w:left w:w="28" w:type="dxa"/>
                    <w:bottom w:w="0" w:type="dxa"/>
                    <w:right w:w="28" w:type="dxa"/>
                  </w:tcMar>
                  <w:vAlign w:val="center"/>
                </w:tcPr>
                <w:p w14:paraId="51D1D068">
                  <w:pPr>
                    <w:pStyle w:val="24"/>
                    <w:rPr>
                      <w:rFonts w:hint="default" w:ascii="Times New Roman" w:hAnsi="Times New Roman" w:cs="Times New Roman"/>
                      <w:sz w:val="18"/>
                      <w:szCs w:val="18"/>
                    </w:rPr>
                  </w:pPr>
                  <w:r>
                    <w:rPr>
                      <w:rFonts w:hint="default" w:ascii="Times New Roman" w:hAnsi="Times New Roman" w:cs="Times New Roman"/>
                      <w:sz w:val="18"/>
                      <w:szCs w:val="18"/>
                    </w:rPr>
                    <w:t>/</w:t>
                  </w:r>
                </w:p>
              </w:tc>
              <w:tc>
                <w:tcPr>
                  <w:tcW w:w="283" w:type="dxa"/>
                  <w:vMerge w:val="restart"/>
                  <w:tcBorders>
                    <w:tl2br w:val="nil"/>
                    <w:tr2bl w:val="nil"/>
                  </w:tcBorders>
                  <w:tcMar>
                    <w:top w:w="0" w:type="dxa"/>
                    <w:left w:w="28" w:type="dxa"/>
                    <w:bottom w:w="0" w:type="dxa"/>
                    <w:right w:w="28" w:type="dxa"/>
                  </w:tcMar>
                  <w:vAlign w:val="center"/>
                </w:tcPr>
                <w:p w14:paraId="1126B6B3">
                  <w:pPr>
                    <w:pStyle w:val="24"/>
                    <w:rPr>
                      <w:rFonts w:hint="default" w:ascii="Times New Roman" w:hAnsi="Times New Roman" w:cs="Times New Roman"/>
                      <w:sz w:val="18"/>
                      <w:szCs w:val="18"/>
                    </w:rPr>
                  </w:pPr>
                  <w:r>
                    <w:rPr>
                      <w:rFonts w:hint="default" w:ascii="Times New Roman" w:hAnsi="Times New Roman" w:cs="Times New Roman"/>
                      <w:sz w:val="18"/>
                      <w:szCs w:val="18"/>
                    </w:rPr>
                    <w:t>间接排放</w:t>
                  </w:r>
                </w:p>
              </w:tc>
              <w:tc>
                <w:tcPr>
                  <w:tcW w:w="334" w:type="dxa"/>
                  <w:vMerge w:val="restart"/>
                  <w:tcBorders>
                    <w:tl2br w:val="nil"/>
                    <w:tr2bl w:val="nil"/>
                  </w:tcBorders>
                  <w:tcMar>
                    <w:top w:w="0" w:type="dxa"/>
                    <w:left w:w="28" w:type="dxa"/>
                    <w:bottom w:w="0" w:type="dxa"/>
                    <w:right w:w="28" w:type="dxa"/>
                  </w:tcMar>
                  <w:vAlign w:val="center"/>
                </w:tcPr>
                <w:p w14:paraId="26286AB2">
                  <w:pPr>
                    <w:pStyle w:val="24"/>
                    <w:rPr>
                      <w:rFonts w:hint="default" w:ascii="Times New Roman" w:hAnsi="Times New Roman" w:cs="Times New Roman"/>
                      <w:sz w:val="18"/>
                      <w:szCs w:val="18"/>
                    </w:rPr>
                  </w:pPr>
                  <w:r>
                    <w:rPr>
                      <w:rFonts w:hint="default" w:ascii="Times New Roman" w:hAnsi="Times New Roman" w:cs="Times New Roman"/>
                      <w:sz w:val="18"/>
                      <w:szCs w:val="18"/>
                      <w:lang w:val="en-US" w:eastAsia="zh-CN"/>
                    </w:rPr>
                    <w:t>秀屿港城</w:t>
                  </w:r>
                  <w:r>
                    <w:rPr>
                      <w:rFonts w:hint="default" w:ascii="Times New Roman" w:hAnsi="Times New Roman" w:cs="Times New Roman"/>
                      <w:sz w:val="18"/>
                      <w:szCs w:val="18"/>
                    </w:rPr>
                    <w:t>污水处理厂</w:t>
                  </w:r>
                </w:p>
              </w:tc>
              <w:tc>
                <w:tcPr>
                  <w:tcW w:w="719" w:type="dxa"/>
                  <w:vMerge w:val="restart"/>
                  <w:tcBorders>
                    <w:tl2br w:val="nil"/>
                    <w:tr2bl w:val="nil"/>
                  </w:tcBorders>
                  <w:tcMar>
                    <w:top w:w="0" w:type="dxa"/>
                    <w:left w:w="28" w:type="dxa"/>
                    <w:bottom w:w="0" w:type="dxa"/>
                    <w:right w:w="28" w:type="dxa"/>
                  </w:tcMar>
                  <w:vAlign w:val="center"/>
                </w:tcPr>
                <w:p w14:paraId="73AC4DAD">
                  <w:pPr>
                    <w:pStyle w:val="24"/>
                    <w:rPr>
                      <w:rFonts w:hint="default" w:ascii="Times New Roman" w:hAnsi="Times New Roman" w:cs="Times New Roman"/>
                      <w:sz w:val="18"/>
                      <w:szCs w:val="18"/>
                    </w:rPr>
                  </w:pPr>
                  <w:r>
                    <w:rPr>
                      <w:rFonts w:hint="default" w:ascii="Times New Roman" w:hAnsi="Times New Roman" w:cs="Times New Roman"/>
                      <w:sz w:val="18"/>
                      <w:szCs w:val="18"/>
                    </w:rPr>
                    <w:t>间断排放，排放期间流量不稳定，但有规律，且不属于非周期性规律</w:t>
                  </w:r>
                </w:p>
              </w:tc>
              <w:tc>
                <w:tcPr>
                  <w:tcW w:w="240" w:type="dxa"/>
                  <w:vMerge w:val="restart"/>
                  <w:tcBorders>
                    <w:tl2br w:val="nil"/>
                    <w:tr2bl w:val="nil"/>
                  </w:tcBorders>
                  <w:tcMar>
                    <w:top w:w="0" w:type="dxa"/>
                    <w:left w:w="28" w:type="dxa"/>
                    <w:bottom w:w="0" w:type="dxa"/>
                    <w:right w:w="28" w:type="dxa"/>
                  </w:tcMar>
                  <w:vAlign w:val="center"/>
                </w:tcPr>
                <w:p w14:paraId="19C0D777">
                  <w:pPr>
                    <w:pStyle w:val="24"/>
                    <w:rPr>
                      <w:rFonts w:hint="default" w:ascii="Times New Roman" w:hAnsi="Times New Roman" w:cs="Times New Roman"/>
                      <w:sz w:val="18"/>
                      <w:szCs w:val="18"/>
                    </w:rPr>
                  </w:pPr>
                  <w:r>
                    <w:rPr>
                      <w:rFonts w:hint="default" w:ascii="Times New Roman" w:hAnsi="Times New Roman" w:cs="Times New Roman"/>
                      <w:sz w:val="18"/>
                      <w:szCs w:val="18"/>
                    </w:rPr>
                    <w:t>DW001</w:t>
                  </w:r>
                </w:p>
              </w:tc>
              <w:tc>
                <w:tcPr>
                  <w:tcW w:w="336" w:type="dxa"/>
                  <w:vMerge w:val="restart"/>
                  <w:tcBorders>
                    <w:tl2br w:val="nil"/>
                    <w:tr2bl w:val="nil"/>
                  </w:tcBorders>
                  <w:tcMar>
                    <w:top w:w="0" w:type="dxa"/>
                    <w:left w:w="28" w:type="dxa"/>
                    <w:bottom w:w="0" w:type="dxa"/>
                    <w:right w:w="28" w:type="dxa"/>
                  </w:tcMar>
                  <w:vAlign w:val="center"/>
                </w:tcPr>
                <w:p w14:paraId="690BCB1F">
                  <w:pPr>
                    <w:pStyle w:val="24"/>
                    <w:rPr>
                      <w:rFonts w:hint="default" w:ascii="Times New Roman" w:hAnsi="Times New Roman" w:cs="Times New Roman"/>
                      <w:sz w:val="18"/>
                      <w:szCs w:val="18"/>
                    </w:rPr>
                  </w:pPr>
                  <w:r>
                    <w:rPr>
                      <w:rFonts w:hint="default" w:ascii="Times New Roman" w:hAnsi="Times New Roman" w:cs="Times New Roman"/>
                      <w:sz w:val="18"/>
                      <w:szCs w:val="18"/>
                    </w:rPr>
                    <w:t>生活污水排放口</w:t>
                  </w:r>
                </w:p>
              </w:tc>
              <w:tc>
                <w:tcPr>
                  <w:tcW w:w="364" w:type="dxa"/>
                  <w:vMerge w:val="restart"/>
                  <w:tcBorders>
                    <w:tl2br w:val="nil"/>
                    <w:tr2bl w:val="nil"/>
                  </w:tcBorders>
                  <w:tcMar>
                    <w:top w:w="0" w:type="dxa"/>
                    <w:left w:w="28" w:type="dxa"/>
                    <w:bottom w:w="0" w:type="dxa"/>
                    <w:right w:w="28" w:type="dxa"/>
                  </w:tcMar>
                  <w:vAlign w:val="center"/>
                </w:tcPr>
                <w:p w14:paraId="6A5F89A1">
                  <w:pPr>
                    <w:pStyle w:val="24"/>
                    <w:rPr>
                      <w:rFonts w:hint="default" w:ascii="Times New Roman" w:hAnsi="Times New Roman" w:cs="Times New Roman"/>
                      <w:sz w:val="18"/>
                      <w:szCs w:val="18"/>
                    </w:rPr>
                  </w:pPr>
                  <w:r>
                    <w:rPr>
                      <w:rFonts w:hint="default" w:ascii="Times New Roman" w:hAnsi="Times New Roman" w:cs="Times New Roman"/>
                      <w:sz w:val="18"/>
                      <w:szCs w:val="18"/>
                    </w:rPr>
                    <w:t>一般排放口</w:t>
                  </w:r>
                </w:p>
              </w:tc>
              <w:tc>
                <w:tcPr>
                  <w:tcW w:w="1061" w:type="dxa"/>
                  <w:vMerge w:val="restart"/>
                  <w:tcBorders>
                    <w:tl2br w:val="nil"/>
                    <w:tr2bl w:val="nil"/>
                  </w:tcBorders>
                  <w:tcMar>
                    <w:top w:w="0" w:type="dxa"/>
                    <w:left w:w="28" w:type="dxa"/>
                    <w:bottom w:w="0" w:type="dxa"/>
                    <w:right w:w="28" w:type="dxa"/>
                  </w:tcMar>
                  <w:vAlign w:val="center"/>
                </w:tcPr>
                <w:p w14:paraId="1635BE2B">
                  <w:pPr>
                    <w:pStyle w:val="24"/>
                    <w:rPr>
                      <w:rFonts w:hint="eastAsia" w:ascii="Times New Roman" w:hAnsi="Times New Roman" w:cs="Times New Roman"/>
                      <w:sz w:val="18"/>
                      <w:szCs w:val="18"/>
                      <w:lang w:eastAsia="zh-CN"/>
                    </w:rPr>
                  </w:pPr>
                  <w:r>
                    <w:rPr>
                      <w:rFonts w:hint="default" w:ascii="Times New Roman" w:hAnsi="Times New Roman" w:cs="Times New Roman"/>
                      <w:sz w:val="18"/>
                      <w:szCs w:val="18"/>
                    </w:rPr>
                    <w:t>N：25°15′56.61″</w:t>
                  </w:r>
                </w:p>
                <w:p w14:paraId="2AE4C704">
                  <w:pPr>
                    <w:pStyle w:val="24"/>
                    <w:rPr>
                      <w:rFonts w:hint="default" w:ascii="Times New Roman" w:hAnsi="Times New Roman" w:cs="Times New Roman"/>
                      <w:sz w:val="18"/>
                      <w:szCs w:val="18"/>
                    </w:rPr>
                  </w:pPr>
                  <w:r>
                    <w:rPr>
                      <w:rFonts w:hint="default" w:ascii="Times New Roman" w:hAnsi="Times New Roman" w:cs="Times New Roman"/>
                      <w:sz w:val="18"/>
                      <w:szCs w:val="18"/>
                    </w:rPr>
                    <w:t>E：119°8′2.67″</w:t>
                  </w:r>
                </w:p>
              </w:tc>
              <w:tc>
                <w:tcPr>
                  <w:tcW w:w="439" w:type="dxa"/>
                  <w:tcBorders>
                    <w:tl2br w:val="nil"/>
                    <w:tr2bl w:val="nil"/>
                  </w:tcBorders>
                  <w:tcMar>
                    <w:top w:w="0" w:type="dxa"/>
                    <w:left w:w="28" w:type="dxa"/>
                    <w:bottom w:w="0" w:type="dxa"/>
                    <w:right w:w="28" w:type="dxa"/>
                  </w:tcMar>
                  <w:vAlign w:val="center"/>
                </w:tcPr>
                <w:p w14:paraId="6C4B50BC">
                  <w:pPr>
                    <w:pStyle w:val="24"/>
                    <w:rPr>
                      <w:rFonts w:hint="default" w:ascii="Times New Roman" w:hAnsi="Times New Roman" w:cs="Times New Roman"/>
                      <w:sz w:val="18"/>
                      <w:szCs w:val="18"/>
                    </w:rPr>
                  </w:pPr>
                  <w:r>
                    <w:rPr>
                      <w:rFonts w:hint="default" w:ascii="Times New Roman" w:hAnsi="Times New Roman" w:cs="Times New Roman"/>
                      <w:sz w:val="18"/>
                      <w:szCs w:val="18"/>
                    </w:rPr>
                    <w:t>6-9</w:t>
                  </w:r>
                </w:p>
              </w:tc>
              <w:tc>
                <w:tcPr>
                  <w:tcW w:w="343" w:type="dxa"/>
                  <w:vMerge w:val="restart"/>
                  <w:tcBorders>
                    <w:tl2br w:val="nil"/>
                    <w:tr2bl w:val="nil"/>
                  </w:tcBorders>
                  <w:tcMar>
                    <w:top w:w="0" w:type="dxa"/>
                    <w:left w:w="28" w:type="dxa"/>
                    <w:bottom w:w="0" w:type="dxa"/>
                    <w:right w:w="28" w:type="dxa"/>
                  </w:tcMar>
                  <w:vAlign w:val="center"/>
                </w:tcPr>
                <w:p w14:paraId="1D4DD157">
                  <w:pPr>
                    <w:pStyle w:val="24"/>
                    <w:rPr>
                      <w:rFonts w:hint="default" w:ascii="Times New Roman" w:hAnsi="Times New Roman" w:cs="Times New Roman"/>
                      <w:sz w:val="18"/>
                      <w:szCs w:val="18"/>
                    </w:rPr>
                  </w:pPr>
                  <w:r>
                    <w:rPr>
                      <w:rFonts w:hint="default" w:ascii="Times New Roman" w:hAnsi="Times New Roman" w:cs="Times New Roman"/>
                      <w:sz w:val="18"/>
                      <w:szCs w:val="18"/>
                    </w:rPr>
                    <w:t>DW001</w:t>
                  </w:r>
                </w:p>
              </w:tc>
              <w:tc>
                <w:tcPr>
                  <w:tcW w:w="829" w:type="dxa"/>
                  <w:vMerge w:val="restart"/>
                  <w:tcBorders>
                    <w:tl2br w:val="nil"/>
                    <w:tr2bl w:val="nil"/>
                  </w:tcBorders>
                  <w:tcMar>
                    <w:top w:w="0" w:type="dxa"/>
                    <w:left w:w="28" w:type="dxa"/>
                    <w:bottom w:w="0" w:type="dxa"/>
                    <w:right w:w="28" w:type="dxa"/>
                  </w:tcMar>
                  <w:vAlign w:val="center"/>
                </w:tcPr>
                <w:p w14:paraId="27548F49">
                  <w:pPr>
                    <w:pStyle w:val="24"/>
                    <w:rPr>
                      <w:rFonts w:hint="default" w:ascii="Times New Roman" w:hAnsi="Times New Roman" w:cs="Times New Roman"/>
                      <w:sz w:val="18"/>
                      <w:szCs w:val="18"/>
                    </w:rPr>
                  </w:pPr>
                  <w:r>
                    <w:rPr>
                      <w:rFonts w:hint="default" w:ascii="Times New Roman" w:hAnsi="Times New Roman" w:cs="Times New Roman"/>
                      <w:sz w:val="18"/>
                      <w:szCs w:val="18"/>
                    </w:rPr>
                    <w:t>化学需氧量,氨氮（NH3-N）,总氮（以N计）,总磷（以P计）,pH值,五日生化需氧量,悬浮物</w:t>
                  </w:r>
                </w:p>
              </w:tc>
              <w:tc>
                <w:tcPr>
                  <w:tcW w:w="333" w:type="dxa"/>
                  <w:vMerge w:val="restart"/>
                  <w:tcBorders>
                    <w:tl2br w:val="nil"/>
                    <w:tr2bl w:val="nil"/>
                  </w:tcBorders>
                  <w:tcMar>
                    <w:top w:w="0" w:type="dxa"/>
                    <w:left w:w="28" w:type="dxa"/>
                    <w:bottom w:w="0" w:type="dxa"/>
                    <w:right w:w="28" w:type="dxa"/>
                  </w:tcMar>
                  <w:vAlign w:val="center"/>
                </w:tcPr>
                <w:p w14:paraId="35ECB660">
                  <w:pPr>
                    <w:pStyle w:val="24"/>
                    <w:rPr>
                      <w:rFonts w:hint="default" w:ascii="Times New Roman" w:hAnsi="Times New Roman" w:cs="Times New Roman"/>
                      <w:sz w:val="18"/>
                      <w:szCs w:val="18"/>
                    </w:rPr>
                  </w:pPr>
                  <w:r>
                    <w:rPr>
                      <w:rFonts w:hint="default" w:ascii="Times New Roman" w:hAnsi="Times New Roman" w:cs="Times New Roman"/>
                      <w:sz w:val="18"/>
                      <w:szCs w:val="18"/>
                    </w:rPr>
                    <w:t>无</w:t>
                  </w:r>
                </w:p>
              </w:tc>
              <w:tc>
                <w:tcPr>
                  <w:tcW w:w="501" w:type="dxa"/>
                  <w:vMerge w:val="restart"/>
                  <w:tcBorders>
                    <w:tl2br w:val="nil"/>
                    <w:tr2bl w:val="nil"/>
                  </w:tcBorders>
                  <w:tcMar>
                    <w:top w:w="0" w:type="dxa"/>
                    <w:left w:w="28" w:type="dxa"/>
                    <w:bottom w:w="0" w:type="dxa"/>
                    <w:right w:w="28" w:type="dxa"/>
                  </w:tcMar>
                  <w:vAlign w:val="center"/>
                </w:tcPr>
                <w:p w14:paraId="6E2A335E">
                  <w:pPr>
                    <w:pStyle w:val="24"/>
                    <w:rPr>
                      <w:rFonts w:hint="default" w:ascii="Times New Roman" w:hAnsi="Times New Roman" w:cs="Times New Roman"/>
                      <w:sz w:val="18"/>
                      <w:szCs w:val="18"/>
                    </w:rPr>
                  </w:pPr>
                  <w:r>
                    <w:rPr>
                      <w:rFonts w:hint="default" w:ascii="Times New Roman" w:hAnsi="Times New Roman" w:cs="Times New Roman"/>
                      <w:sz w:val="18"/>
                      <w:szCs w:val="18"/>
                    </w:rPr>
                    <w:t>生活污水单独排入</w:t>
                  </w:r>
                  <w:r>
                    <w:rPr>
                      <w:rFonts w:hint="default" w:ascii="Times New Roman" w:hAnsi="Times New Roman" w:cs="Times New Roman"/>
                      <w:sz w:val="18"/>
                      <w:szCs w:val="18"/>
                      <w:lang w:val="en-US" w:eastAsia="zh-CN"/>
                    </w:rPr>
                    <w:t>秀屿港城</w:t>
                  </w:r>
                  <w:r>
                    <w:rPr>
                      <w:rFonts w:hint="default" w:ascii="Times New Roman" w:hAnsi="Times New Roman" w:cs="Times New Roman"/>
                      <w:sz w:val="18"/>
                      <w:szCs w:val="18"/>
                    </w:rPr>
                    <w:t>污水处理厂处理，无需监测</w:t>
                  </w:r>
                </w:p>
              </w:tc>
            </w:tr>
            <w:tr w14:paraId="37305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10" w:type="dxa"/>
                  <w:gridSpan w:val="2"/>
                  <w:vMerge w:val="continue"/>
                  <w:tcBorders>
                    <w:tl2br w:val="nil"/>
                    <w:tr2bl w:val="nil"/>
                  </w:tcBorders>
                  <w:tcMar>
                    <w:top w:w="0" w:type="dxa"/>
                    <w:left w:w="28" w:type="dxa"/>
                    <w:bottom w:w="0" w:type="dxa"/>
                    <w:right w:w="28" w:type="dxa"/>
                  </w:tcMar>
                  <w:vAlign w:val="center"/>
                </w:tcPr>
                <w:p w14:paraId="1C687CB7">
                  <w:pPr>
                    <w:pStyle w:val="24"/>
                    <w:rPr>
                      <w:rFonts w:hint="default" w:ascii="Times New Roman" w:hAnsi="Times New Roman" w:cs="Times New Roman"/>
                      <w:sz w:val="18"/>
                      <w:szCs w:val="18"/>
                    </w:rPr>
                  </w:pPr>
                </w:p>
              </w:tc>
              <w:tc>
                <w:tcPr>
                  <w:tcW w:w="568" w:type="dxa"/>
                  <w:tcBorders>
                    <w:tl2br w:val="nil"/>
                    <w:tr2bl w:val="nil"/>
                  </w:tcBorders>
                  <w:tcMar>
                    <w:top w:w="0" w:type="dxa"/>
                    <w:left w:w="28" w:type="dxa"/>
                    <w:bottom w:w="0" w:type="dxa"/>
                    <w:right w:w="28" w:type="dxa"/>
                  </w:tcMar>
                  <w:vAlign w:val="center"/>
                </w:tcPr>
                <w:p w14:paraId="0F61224F">
                  <w:pPr>
                    <w:pStyle w:val="24"/>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330" w:type="dxa"/>
                  <w:vMerge w:val="continue"/>
                  <w:tcBorders>
                    <w:tl2br w:val="nil"/>
                    <w:tr2bl w:val="nil"/>
                  </w:tcBorders>
                  <w:tcMar>
                    <w:top w:w="0" w:type="dxa"/>
                    <w:left w:w="28" w:type="dxa"/>
                    <w:bottom w:w="0" w:type="dxa"/>
                    <w:right w:w="28" w:type="dxa"/>
                  </w:tcMar>
                  <w:vAlign w:val="center"/>
                </w:tcPr>
                <w:p w14:paraId="0EB2EA33">
                  <w:pPr>
                    <w:pStyle w:val="24"/>
                    <w:rPr>
                      <w:rFonts w:hint="default" w:ascii="Times New Roman" w:hAnsi="Times New Roman" w:cs="Times New Roman"/>
                      <w:sz w:val="18"/>
                      <w:szCs w:val="18"/>
                    </w:rPr>
                  </w:pPr>
                </w:p>
              </w:tc>
              <w:tc>
                <w:tcPr>
                  <w:tcW w:w="420" w:type="dxa"/>
                  <w:vMerge w:val="continue"/>
                  <w:tcBorders>
                    <w:tl2br w:val="nil"/>
                    <w:tr2bl w:val="nil"/>
                  </w:tcBorders>
                  <w:tcMar>
                    <w:top w:w="0" w:type="dxa"/>
                    <w:left w:w="28" w:type="dxa"/>
                    <w:bottom w:w="0" w:type="dxa"/>
                    <w:right w:w="28" w:type="dxa"/>
                  </w:tcMar>
                  <w:vAlign w:val="center"/>
                </w:tcPr>
                <w:p w14:paraId="1AADF755">
                  <w:pPr>
                    <w:pStyle w:val="24"/>
                    <w:rPr>
                      <w:rFonts w:hint="default" w:ascii="Times New Roman" w:hAnsi="Times New Roman" w:cs="Times New Roman"/>
                      <w:sz w:val="18"/>
                      <w:szCs w:val="18"/>
                    </w:rPr>
                  </w:pPr>
                </w:p>
              </w:tc>
              <w:tc>
                <w:tcPr>
                  <w:tcW w:w="472" w:type="dxa"/>
                  <w:tcBorders>
                    <w:tl2br w:val="nil"/>
                    <w:tr2bl w:val="nil"/>
                  </w:tcBorders>
                  <w:tcMar>
                    <w:top w:w="0" w:type="dxa"/>
                    <w:left w:w="28" w:type="dxa"/>
                    <w:bottom w:w="0" w:type="dxa"/>
                    <w:right w:w="28" w:type="dxa"/>
                  </w:tcMar>
                  <w:vAlign w:val="center"/>
                </w:tcPr>
                <w:p w14:paraId="4FA8A4E1">
                  <w:pPr>
                    <w:pStyle w:val="24"/>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85</w:t>
                  </w:r>
                </w:p>
              </w:tc>
              <w:tc>
                <w:tcPr>
                  <w:tcW w:w="675" w:type="dxa"/>
                  <w:tcBorders>
                    <w:tl2br w:val="nil"/>
                    <w:tr2bl w:val="nil"/>
                  </w:tcBorders>
                  <w:tcMar>
                    <w:top w:w="0" w:type="dxa"/>
                    <w:left w:w="28" w:type="dxa"/>
                    <w:bottom w:w="0" w:type="dxa"/>
                    <w:right w:w="28" w:type="dxa"/>
                  </w:tcMar>
                  <w:vAlign w:val="center"/>
                </w:tcPr>
                <w:p w14:paraId="58F745B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0.6984</w:t>
                  </w:r>
                </w:p>
              </w:tc>
              <w:tc>
                <w:tcPr>
                  <w:tcW w:w="278" w:type="dxa"/>
                  <w:vMerge w:val="continue"/>
                  <w:tcBorders>
                    <w:tl2br w:val="nil"/>
                    <w:tr2bl w:val="nil"/>
                  </w:tcBorders>
                  <w:tcMar>
                    <w:top w:w="0" w:type="dxa"/>
                    <w:left w:w="28" w:type="dxa"/>
                    <w:bottom w:w="0" w:type="dxa"/>
                    <w:right w:w="28" w:type="dxa"/>
                  </w:tcMar>
                  <w:vAlign w:val="center"/>
                </w:tcPr>
                <w:p w14:paraId="426FBB1A">
                  <w:pPr>
                    <w:pStyle w:val="24"/>
                    <w:rPr>
                      <w:rFonts w:hint="default" w:ascii="Times New Roman" w:hAnsi="Times New Roman" w:cs="Times New Roman"/>
                      <w:sz w:val="18"/>
                      <w:szCs w:val="18"/>
                    </w:rPr>
                  </w:pPr>
                </w:p>
              </w:tc>
              <w:tc>
                <w:tcPr>
                  <w:tcW w:w="332" w:type="dxa"/>
                  <w:vMerge w:val="continue"/>
                  <w:tcBorders>
                    <w:tl2br w:val="nil"/>
                    <w:tr2bl w:val="nil"/>
                  </w:tcBorders>
                  <w:tcMar>
                    <w:top w:w="0" w:type="dxa"/>
                    <w:left w:w="28" w:type="dxa"/>
                    <w:bottom w:w="0" w:type="dxa"/>
                    <w:right w:w="28" w:type="dxa"/>
                  </w:tcMar>
                  <w:vAlign w:val="center"/>
                </w:tcPr>
                <w:p w14:paraId="6884279D">
                  <w:pPr>
                    <w:pStyle w:val="24"/>
                    <w:rPr>
                      <w:rFonts w:hint="default" w:ascii="Times New Roman" w:hAnsi="Times New Roman" w:cs="Times New Roman"/>
                      <w:sz w:val="18"/>
                      <w:szCs w:val="18"/>
                    </w:rPr>
                  </w:pPr>
                </w:p>
              </w:tc>
              <w:tc>
                <w:tcPr>
                  <w:tcW w:w="311" w:type="dxa"/>
                  <w:tcBorders>
                    <w:tl2br w:val="nil"/>
                    <w:tr2bl w:val="nil"/>
                  </w:tcBorders>
                  <w:tcMar>
                    <w:top w:w="0" w:type="dxa"/>
                    <w:left w:w="28" w:type="dxa"/>
                    <w:bottom w:w="0" w:type="dxa"/>
                    <w:right w:w="28" w:type="dxa"/>
                  </w:tcMar>
                  <w:vAlign w:val="center"/>
                </w:tcPr>
                <w:p w14:paraId="748C3328">
                  <w:pPr>
                    <w:pStyle w:val="24"/>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54" w:type="dxa"/>
                  <w:vMerge w:val="continue"/>
                  <w:tcBorders>
                    <w:tl2br w:val="nil"/>
                    <w:tr2bl w:val="nil"/>
                  </w:tcBorders>
                  <w:tcMar>
                    <w:top w:w="0" w:type="dxa"/>
                    <w:left w:w="28" w:type="dxa"/>
                    <w:bottom w:w="0" w:type="dxa"/>
                    <w:right w:w="28" w:type="dxa"/>
                  </w:tcMar>
                  <w:vAlign w:val="center"/>
                </w:tcPr>
                <w:p w14:paraId="67E41D8B">
                  <w:pPr>
                    <w:pStyle w:val="24"/>
                    <w:rPr>
                      <w:rFonts w:hint="default" w:ascii="Times New Roman" w:hAnsi="Times New Roman" w:cs="Times New Roman"/>
                      <w:sz w:val="18"/>
                      <w:szCs w:val="18"/>
                    </w:rPr>
                  </w:pPr>
                </w:p>
              </w:tc>
              <w:tc>
                <w:tcPr>
                  <w:tcW w:w="510" w:type="dxa"/>
                  <w:vMerge w:val="continue"/>
                  <w:tcBorders>
                    <w:tl2br w:val="nil"/>
                    <w:tr2bl w:val="nil"/>
                  </w:tcBorders>
                  <w:tcMar>
                    <w:top w:w="0" w:type="dxa"/>
                    <w:left w:w="28" w:type="dxa"/>
                    <w:bottom w:w="0" w:type="dxa"/>
                    <w:right w:w="28" w:type="dxa"/>
                  </w:tcMar>
                  <w:vAlign w:val="center"/>
                </w:tcPr>
                <w:p w14:paraId="1980641D">
                  <w:pPr>
                    <w:pStyle w:val="24"/>
                    <w:rPr>
                      <w:rFonts w:hint="default" w:ascii="Times New Roman" w:hAnsi="Times New Roman" w:cs="Times New Roman"/>
                      <w:sz w:val="18"/>
                      <w:szCs w:val="18"/>
                    </w:rPr>
                  </w:pPr>
                </w:p>
              </w:tc>
              <w:tc>
                <w:tcPr>
                  <w:tcW w:w="615" w:type="dxa"/>
                  <w:tcBorders>
                    <w:tl2br w:val="nil"/>
                    <w:tr2bl w:val="nil"/>
                  </w:tcBorders>
                  <w:tcMar>
                    <w:top w:w="0" w:type="dxa"/>
                    <w:left w:w="28" w:type="dxa"/>
                    <w:bottom w:w="0" w:type="dxa"/>
                    <w:right w:w="28" w:type="dxa"/>
                  </w:tcMar>
                  <w:vAlign w:val="center"/>
                </w:tcPr>
                <w:p w14:paraId="70A12A4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412.25</w:t>
                  </w:r>
                </w:p>
              </w:tc>
              <w:tc>
                <w:tcPr>
                  <w:tcW w:w="660" w:type="dxa"/>
                  <w:tcBorders>
                    <w:tl2br w:val="nil"/>
                    <w:tr2bl w:val="nil"/>
                  </w:tcBorders>
                  <w:tcMar>
                    <w:top w:w="0" w:type="dxa"/>
                    <w:left w:w="28" w:type="dxa"/>
                    <w:bottom w:w="0" w:type="dxa"/>
                    <w:right w:w="28" w:type="dxa"/>
                  </w:tcMar>
                  <w:vAlign w:val="center"/>
                </w:tcPr>
                <w:p w14:paraId="7D82257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0.5936</w:t>
                  </w:r>
                </w:p>
              </w:tc>
              <w:tc>
                <w:tcPr>
                  <w:tcW w:w="480" w:type="dxa"/>
                  <w:tcBorders>
                    <w:tl2br w:val="nil"/>
                    <w:tr2bl w:val="nil"/>
                  </w:tcBorders>
                  <w:tcMar>
                    <w:top w:w="0" w:type="dxa"/>
                    <w:left w:w="28" w:type="dxa"/>
                    <w:bottom w:w="0" w:type="dxa"/>
                    <w:right w:w="28" w:type="dxa"/>
                  </w:tcMar>
                  <w:vAlign w:val="center"/>
                </w:tcPr>
                <w:p w14:paraId="0A072C7C">
                  <w:pPr>
                    <w:pStyle w:val="24"/>
                    <w:rPr>
                      <w:rFonts w:hint="default" w:ascii="Times New Roman" w:hAnsi="Times New Roman" w:cs="Times New Roman"/>
                      <w:sz w:val="18"/>
                      <w:szCs w:val="18"/>
                    </w:rPr>
                  </w:pPr>
                  <w:r>
                    <w:rPr>
                      <w:rFonts w:hint="default" w:ascii="Times New Roman" w:hAnsi="Times New Roman" w:cs="Times New Roman"/>
                      <w:sz w:val="18"/>
                      <w:szCs w:val="18"/>
                    </w:rPr>
                    <w:t>50</w:t>
                  </w:r>
                </w:p>
              </w:tc>
              <w:tc>
                <w:tcPr>
                  <w:tcW w:w="646" w:type="dxa"/>
                  <w:tcBorders>
                    <w:tl2br w:val="nil"/>
                    <w:tr2bl w:val="nil"/>
                  </w:tcBorders>
                  <w:tcMar>
                    <w:top w:w="0" w:type="dxa"/>
                    <w:left w:w="28" w:type="dxa"/>
                    <w:bottom w:w="0" w:type="dxa"/>
                    <w:right w:w="28" w:type="dxa"/>
                  </w:tcMar>
                  <w:vAlign w:val="center"/>
                </w:tcPr>
                <w:p w14:paraId="1717B8C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0.0720</w:t>
                  </w:r>
                </w:p>
              </w:tc>
              <w:tc>
                <w:tcPr>
                  <w:tcW w:w="283" w:type="dxa"/>
                  <w:vMerge w:val="continue"/>
                  <w:tcBorders>
                    <w:tl2br w:val="nil"/>
                    <w:tr2bl w:val="nil"/>
                  </w:tcBorders>
                  <w:tcMar>
                    <w:top w:w="0" w:type="dxa"/>
                    <w:left w:w="28" w:type="dxa"/>
                    <w:bottom w:w="0" w:type="dxa"/>
                    <w:right w:w="28" w:type="dxa"/>
                  </w:tcMar>
                  <w:vAlign w:val="center"/>
                </w:tcPr>
                <w:p w14:paraId="0761E66A">
                  <w:pPr>
                    <w:pStyle w:val="24"/>
                    <w:rPr>
                      <w:rFonts w:hint="default" w:ascii="Times New Roman" w:hAnsi="Times New Roman" w:cs="Times New Roman"/>
                      <w:sz w:val="18"/>
                      <w:szCs w:val="18"/>
                    </w:rPr>
                  </w:pPr>
                </w:p>
              </w:tc>
              <w:tc>
                <w:tcPr>
                  <w:tcW w:w="283" w:type="dxa"/>
                  <w:vMerge w:val="continue"/>
                  <w:tcBorders>
                    <w:tl2br w:val="nil"/>
                    <w:tr2bl w:val="nil"/>
                  </w:tcBorders>
                  <w:tcMar>
                    <w:top w:w="0" w:type="dxa"/>
                    <w:left w:w="28" w:type="dxa"/>
                    <w:bottom w:w="0" w:type="dxa"/>
                    <w:right w:w="28" w:type="dxa"/>
                  </w:tcMar>
                  <w:vAlign w:val="center"/>
                </w:tcPr>
                <w:p w14:paraId="02142C45">
                  <w:pPr>
                    <w:pStyle w:val="24"/>
                    <w:rPr>
                      <w:rFonts w:hint="default" w:ascii="Times New Roman" w:hAnsi="Times New Roman" w:cs="Times New Roman"/>
                      <w:sz w:val="18"/>
                      <w:szCs w:val="18"/>
                    </w:rPr>
                  </w:pPr>
                </w:p>
              </w:tc>
              <w:tc>
                <w:tcPr>
                  <w:tcW w:w="334" w:type="dxa"/>
                  <w:vMerge w:val="continue"/>
                  <w:tcBorders>
                    <w:tl2br w:val="nil"/>
                    <w:tr2bl w:val="nil"/>
                  </w:tcBorders>
                  <w:tcMar>
                    <w:top w:w="0" w:type="dxa"/>
                    <w:left w:w="28" w:type="dxa"/>
                    <w:bottom w:w="0" w:type="dxa"/>
                    <w:right w:w="28" w:type="dxa"/>
                  </w:tcMar>
                  <w:vAlign w:val="center"/>
                </w:tcPr>
                <w:p w14:paraId="575AF2D1">
                  <w:pPr>
                    <w:pStyle w:val="24"/>
                    <w:rPr>
                      <w:rFonts w:hint="default" w:ascii="Times New Roman" w:hAnsi="Times New Roman" w:cs="Times New Roman"/>
                      <w:sz w:val="18"/>
                      <w:szCs w:val="18"/>
                    </w:rPr>
                  </w:pPr>
                </w:p>
              </w:tc>
              <w:tc>
                <w:tcPr>
                  <w:tcW w:w="719" w:type="dxa"/>
                  <w:vMerge w:val="continue"/>
                  <w:tcBorders>
                    <w:tl2br w:val="nil"/>
                    <w:tr2bl w:val="nil"/>
                  </w:tcBorders>
                  <w:tcMar>
                    <w:top w:w="0" w:type="dxa"/>
                    <w:left w:w="28" w:type="dxa"/>
                    <w:bottom w:w="0" w:type="dxa"/>
                    <w:right w:w="28" w:type="dxa"/>
                  </w:tcMar>
                  <w:vAlign w:val="center"/>
                </w:tcPr>
                <w:p w14:paraId="76E3E8CA">
                  <w:pPr>
                    <w:pStyle w:val="24"/>
                    <w:rPr>
                      <w:rFonts w:hint="default" w:ascii="Times New Roman" w:hAnsi="Times New Roman" w:cs="Times New Roman"/>
                      <w:sz w:val="18"/>
                      <w:szCs w:val="18"/>
                    </w:rPr>
                  </w:pPr>
                </w:p>
              </w:tc>
              <w:tc>
                <w:tcPr>
                  <w:tcW w:w="240" w:type="dxa"/>
                  <w:vMerge w:val="continue"/>
                  <w:tcBorders>
                    <w:tl2br w:val="nil"/>
                    <w:tr2bl w:val="nil"/>
                  </w:tcBorders>
                  <w:tcMar>
                    <w:top w:w="0" w:type="dxa"/>
                    <w:left w:w="28" w:type="dxa"/>
                    <w:bottom w:w="0" w:type="dxa"/>
                    <w:right w:w="28" w:type="dxa"/>
                  </w:tcMar>
                  <w:vAlign w:val="center"/>
                </w:tcPr>
                <w:p w14:paraId="6427D0AC">
                  <w:pPr>
                    <w:pStyle w:val="24"/>
                    <w:rPr>
                      <w:rFonts w:hint="default" w:ascii="Times New Roman" w:hAnsi="Times New Roman" w:cs="Times New Roman"/>
                      <w:sz w:val="18"/>
                      <w:szCs w:val="18"/>
                    </w:rPr>
                  </w:pPr>
                </w:p>
              </w:tc>
              <w:tc>
                <w:tcPr>
                  <w:tcW w:w="336" w:type="dxa"/>
                  <w:vMerge w:val="continue"/>
                  <w:tcBorders>
                    <w:tl2br w:val="nil"/>
                    <w:tr2bl w:val="nil"/>
                  </w:tcBorders>
                  <w:tcMar>
                    <w:top w:w="0" w:type="dxa"/>
                    <w:left w:w="28" w:type="dxa"/>
                    <w:bottom w:w="0" w:type="dxa"/>
                    <w:right w:w="28" w:type="dxa"/>
                  </w:tcMar>
                  <w:vAlign w:val="center"/>
                </w:tcPr>
                <w:p w14:paraId="41BA19F1">
                  <w:pPr>
                    <w:pStyle w:val="24"/>
                    <w:rPr>
                      <w:rFonts w:hint="default" w:ascii="Times New Roman" w:hAnsi="Times New Roman" w:cs="Times New Roman"/>
                      <w:sz w:val="18"/>
                      <w:szCs w:val="18"/>
                    </w:rPr>
                  </w:pPr>
                </w:p>
              </w:tc>
              <w:tc>
                <w:tcPr>
                  <w:tcW w:w="364" w:type="dxa"/>
                  <w:vMerge w:val="continue"/>
                  <w:tcBorders>
                    <w:tl2br w:val="nil"/>
                    <w:tr2bl w:val="nil"/>
                  </w:tcBorders>
                  <w:tcMar>
                    <w:top w:w="0" w:type="dxa"/>
                    <w:left w:w="28" w:type="dxa"/>
                    <w:bottom w:w="0" w:type="dxa"/>
                    <w:right w:w="28" w:type="dxa"/>
                  </w:tcMar>
                  <w:vAlign w:val="center"/>
                </w:tcPr>
                <w:p w14:paraId="5095EA8F">
                  <w:pPr>
                    <w:pStyle w:val="24"/>
                    <w:rPr>
                      <w:rFonts w:hint="default" w:ascii="Times New Roman" w:hAnsi="Times New Roman" w:cs="Times New Roman"/>
                      <w:sz w:val="18"/>
                      <w:szCs w:val="18"/>
                    </w:rPr>
                  </w:pPr>
                </w:p>
              </w:tc>
              <w:tc>
                <w:tcPr>
                  <w:tcW w:w="1061" w:type="dxa"/>
                  <w:vMerge w:val="continue"/>
                  <w:tcBorders>
                    <w:tl2br w:val="nil"/>
                    <w:tr2bl w:val="nil"/>
                  </w:tcBorders>
                  <w:tcMar>
                    <w:top w:w="0" w:type="dxa"/>
                    <w:left w:w="28" w:type="dxa"/>
                    <w:bottom w:w="0" w:type="dxa"/>
                    <w:right w:w="28" w:type="dxa"/>
                  </w:tcMar>
                  <w:vAlign w:val="center"/>
                </w:tcPr>
                <w:p w14:paraId="6ADB8793">
                  <w:pPr>
                    <w:pStyle w:val="24"/>
                    <w:rPr>
                      <w:rFonts w:hint="default" w:ascii="Times New Roman" w:hAnsi="Times New Roman" w:cs="Times New Roman"/>
                      <w:sz w:val="18"/>
                      <w:szCs w:val="18"/>
                    </w:rPr>
                  </w:pPr>
                </w:p>
              </w:tc>
              <w:tc>
                <w:tcPr>
                  <w:tcW w:w="439" w:type="dxa"/>
                  <w:tcBorders>
                    <w:tl2br w:val="nil"/>
                    <w:tr2bl w:val="nil"/>
                  </w:tcBorders>
                  <w:tcMar>
                    <w:top w:w="0" w:type="dxa"/>
                    <w:left w:w="28" w:type="dxa"/>
                    <w:bottom w:w="0" w:type="dxa"/>
                    <w:right w:w="28" w:type="dxa"/>
                  </w:tcMar>
                  <w:vAlign w:val="center"/>
                </w:tcPr>
                <w:p w14:paraId="1B9997F5">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500</w:t>
                  </w:r>
                </w:p>
              </w:tc>
              <w:tc>
                <w:tcPr>
                  <w:tcW w:w="343" w:type="dxa"/>
                  <w:vMerge w:val="continue"/>
                  <w:tcBorders>
                    <w:tl2br w:val="nil"/>
                    <w:tr2bl w:val="nil"/>
                  </w:tcBorders>
                  <w:tcMar>
                    <w:top w:w="0" w:type="dxa"/>
                    <w:left w:w="28" w:type="dxa"/>
                    <w:bottom w:w="0" w:type="dxa"/>
                    <w:right w:w="28" w:type="dxa"/>
                  </w:tcMar>
                  <w:vAlign w:val="center"/>
                </w:tcPr>
                <w:p w14:paraId="5B76FFB2">
                  <w:pPr>
                    <w:pStyle w:val="24"/>
                    <w:rPr>
                      <w:rFonts w:hint="default" w:ascii="Times New Roman" w:hAnsi="Times New Roman" w:cs="Times New Roman"/>
                      <w:sz w:val="18"/>
                      <w:szCs w:val="18"/>
                    </w:rPr>
                  </w:pPr>
                </w:p>
              </w:tc>
              <w:tc>
                <w:tcPr>
                  <w:tcW w:w="829" w:type="dxa"/>
                  <w:vMerge w:val="continue"/>
                  <w:tcBorders>
                    <w:tl2br w:val="nil"/>
                    <w:tr2bl w:val="nil"/>
                  </w:tcBorders>
                  <w:tcMar>
                    <w:top w:w="0" w:type="dxa"/>
                    <w:left w:w="28" w:type="dxa"/>
                    <w:bottom w:w="0" w:type="dxa"/>
                    <w:right w:w="28" w:type="dxa"/>
                  </w:tcMar>
                  <w:vAlign w:val="center"/>
                </w:tcPr>
                <w:p w14:paraId="1C0EC568">
                  <w:pPr>
                    <w:pStyle w:val="24"/>
                    <w:rPr>
                      <w:rFonts w:hint="default" w:ascii="Times New Roman" w:hAnsi="Times New Roman" w:cs="Times New Roman"/>
                      <w:sz w:val="18"/>
                      <w:szCs w:val="18"/>
                    </w:rPr>
                  </w:pPr>
                </w:p>
              </w:tc>
              <w:tc>
                <w:tcPr>
                  <w:tcW w:w="333" w:type="dxa"/>
                  <w:vMerge w:val="continue"/>
                  <w:tcBorders>
                    <w:tl2br w:val="nil"/>
                    <w:tr2bl w:val="nil"/>
                  </w:tcBorders>
                  <w:tcMar>
                    <w:top w:w="0" w:type="dxa"/>
                    <w:left w:w="28" w:type="dxa"/>
                    <w:bottom w:w="0" w:type="dxa"/>
                    <w:right w:w="28" w:type="dxa"/>
                  </w:tcMar>
                  <w:vAlign w:val="center"/>
                </w:tcPr>
                <w:p w14:paraId="32F7034B">
                  <w:pPr>
                    <w:pStyle w:val="24"/>
                    <w:rPr>
                      <w:rFonts w:hint="default" w:ascii="Times New Roman" w:hAnsi="Times New Roman" w:cs="Times New Roman"/>
                      <w:sz w:val="18"/>
                      <w:szCs w:val="18"/>
                    </w:rPr>
                  </w:pPr>
                </w:p>
              </w:tc>
              <w:tc>
                <w:tcPr>
                  <w:tcW w:w="501" w:type="dxa"/>
                  <w:vMerge w:val="continue"/>
                  <w:tcBorders>
                    <w:tl2br w:val="nil"/>
                    <w:tr2bl w:val="nil"/>
                  </w:tcBorders>
                  <w:tcMar>
                    <w:top w:w="0" w:type="dxa"/>
                    <w:left w:w="28" w:type="dxa"/>
                    <w:bottom w:w="0" w:type="dxa"/>
                    <w:right w:w="28" w:type="dxa"/>
                  </w:tcMar>
                  <w:vAlign w:val="center"/>
                </w:tcPr>
                <w:p w14:paraId="14711FA7">
                  <w:pPr>
                    <w:pStyle w:val="24"/>
                    <w:rPr>
                      <w:rFonts w:hint="default" w:ascii="Times New Roman" w:hAnsi="Times New Roman" w:cs="Times New Roman"/>
                      <w:sz w:val="18"/>
                      <w:szCs w:val="18"/>
                    </w:rPr>
                  </w:pPr>
                </w:p>
              </w:tc>
            </w:tr>
            <w:tr w14:paraId="058EF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10" w:type="dxa"/>
                  <w:gridSpan w:val="2"/>
                  <w:vMerge w:val="continue"/>
                  <w:tcBorders>
                    <w:tl2br w:val="nil"/>
                    <w:tr2bl w:val="nil"/>
                  </w:tcBorders>
                  <w:tcMar>
                    <w:top w:w="0" w:type="dxa"/>
                    <w:left w:w="28" w:type="dxa"/>
                    <w:bottom w:w="0" w:type="dxa"/>
                    <w:right w:w="28" w:type="dxa"/>
                  </w:tcMar>
                  <w:vAlign w:val="center"/>
                </w:tcPr>
                <w:p w14:paraId="36CFE8F1">
                  <w:pPr>
                    <w:pStyle w:val="24"/>
                    <w:rPr>
                      <w:rFonts w:hint="default" w:ascii="Times New Roman" w:hAnsi="Times New Roman" w:cs="Times New Roman"/>
                      <w:sz w:val="18"/>
                      <w:szCs w:val="18"/>
                    </w:rPr>
                  </w:pPr>
                </w:p>
              </w:tc>
              <w:tc>
                <w:tcPr>
                  <w:tcW w:w="568" w:type="dxa"/>
                  <w:tcBorders>
                    <w:tl2br w:val="nil"/>
                    <w:tr2bl w:val="nil"/>
                  </w:tcBorders>
                  <w:tcMar>
                    <w:top w:w="0" w:type="dxa"/>
                    <w:left w:w="28" w:type="dxa"/>
                    <w:bottom w:w="0" w:type="dxa"/>
                    <w:right w:w="28" w:type="dxa"/>
                  </w:tcMar>
                  <w:vAlign w:val="center"/>
                </w:tcPr>
                <w:p w14:paraId="3869CCCE">
                  <w:pPr>
                    <w:pStyle w:val="24"/>
                    <w:rPr>
                      <w:rFonts w:hint="default" w:ascii="Times New Roman" w:hAnsi="Times New Roman" w:cs="Times New Roman"/>
                      <w:sz w:val="18"/>
                      <w:szCs w:val="18"/>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p>
              </w:tc>
              <w:tc>
                <w:tcPr>
                  <w:tcW w:w="330" w:type="dxa"/>
                  <w:vMerge w:val="continue"/>
                  <w:tcBorders>
                    <w:tl2br w:val="nil"/>
                    <w:tr2bl w:val="nil"/>
                  </w:tcBorders>
                  <w:tcMar>
                    <w:top w:w="0" w:type="dxa"/>
                    <w:left w:w="28" w:type="dxa"/>
                    <w:bottom w:w="0" w:type="dxa"/>
                    <w:right w:w="28" w:type="dxa"/>
                  </w:tcMar>
                  <w:vAlign w:val="center"/>
                </w:tcPr>
                <w:p w14:paraId="0D82A75C">
                  <w:pPr>
                    <w:pStyle w:val="24"/>
                    <w:rPr>
                      <w:rFonts w:hint="default" w:ascii="Times New Roman" w:hAnsi="Times New Roman" w:cs="Times New Roman"/>
                      <w:sz w:val="18"/>
                      <w:szCs w:val="18"/>
                    </w:rPr>
                  </w:pPr>
                </w:p>
              </w:tc>
              <w:tc>
                <w:tcPr>
                  <w:tcW w:w="420" w:type="dxa"/>
                  <w:vMerge w:val="continue"/>
                  <w:tcBorders>
                    <w:tl2br w:val="nil"/>
                    <w:tr2bl w:val="nil"/>
                  </w:tcBorders>
                  <w:tcMar>
                    <w:top w:w="0" w:type="dxa"/>
                    <w:left w:w="28" w:type="dxa"/>
                    <w:bottom w:w="0" w:type="dxa"/>
                    <w:right w:w="28" w:type="dxa"/>
                  </w:tcMar>
                  <w:vAlign w:val="center"/>
                </w:tcPr>
                <w:p w14:paraId="735AF76A">
                  <w:pPr>
                    <w:pStyle w:val="24"/>
                    <w:rPr>
                      <w:rFonts w:hint="default" w:ascii="Times New Roman" w:hAnsi="Times New Roman" w:cs="Times New Roman"/>
                      <w:sz w:val="18"/>
                      <w:szCs w:val="18"/>
                    </w:rPr>
                  </w:pPr>
                </w:p>
              </w:tc>
              <w:tc>
                <w:tcPr>
                  <w:tcW w:w="472" w:type="dxa"/>
                  <w:tcBorders>
                    <w:tl2br w:val="nil"/>
                    <w:tr2bl w:val="nil"/>
                  </w:tcBorders>
                  <w:tcMar>
                    <w:top w:w="0" w:type="dxa"/>
                    <w:left w:w="28" w:type="dxa"/>
                    <w:bottom w:w="0" w:type="dxa"/>
                    <w:right w:w="28" w:type="dxa"/>
                  </w:tcMar>
                  <w:vAlign w:val="center"/>
                </w:tcPr>
                <w:p w14:paraId="53180820">
                  <w:pPr>
                    <w:pStyle w:val="24"/>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2</w:t>
                  </w:r>
                  <w:r>
                    <w:rPr>
                      <w:rFonts w:hint="eastAsia" w:ascii="Times New Roman" w:hAnsi="Times New Roman" w:cs="Times New Roman"/>
                      <w:sz w:val="18"/>
                      <w:szCs w:val="18"/>
                      <w:lang w:val="en-US" w:eastAsia="zh-CN"/>
                    </w:rPr>
                    <w:t>18</w:t>
                  </w:r>
                </w:p>
              </w:tc>
              <w:tc>
                <w:tcPr>
                  <w:tcW w:w="675" w:type="dxa"/>
                  <w:tcBorders>
                    <w:tl2br w:val="nil"/>
                    <w:tr2bl w:val="nil"/>
                  </w:tcBorders>
                  <w:tcMar>
                    <w:top w:w="0" w:type="dxa"/>
                    <w:left w:w="28" w:type="dxa"/>
                    <w:bottom w:w="0" w:type="dxa"/>
                    <w:right w:w="28" w:type="dxa"/>
                  </w:tcMar>
                  <w:vAlign w:val="center"/>
                </w:tcPr>
                <w:p w14:paraId="7C70485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0.3139</w:t>
                  </w:r>
                </w:p>
              </w:tc>
              <w:tc>
                <w:tcPr>
                  <w:tcW w:w="278" w:type="dxa"/>
                  <w:vMerge w:val="continue"/>
                  <w:tcBorders>
                    <w:tl2br w:val="nil"/>
                    <w:tr2bl w:val="nil"/>
                  </w:tcBorders>
                  <w:tcMar>
                    <w:top w:w="0" w:type="dxa"/>
                    <w:left w:w="28" w:type="dxa"/>
                    <w:bottom w:w="0" w:type="dxa"/>
                    <w:right w:w="28" w:type="dxa"/>
                  </w:tcMar>
                  <w:vAlign w:val="center"/>
                </w:tcPr>
                <w:p w14:paraId="5166DCC8">
                  <w:pPr>
                    <w:pStyle w:val="24"/>
                    <w:rPr>
                      <w:rFonts w:hint="default" w:ascii="Times New Roman" w:hAnsi="Times New Roman" w:cs="Times New Roman"/>
                      <w:sz w:val="18"/>
                      <w:szCs w:val="18"/>
                    </w:rPr>
                  </w:pPr>
                </w:p>
              </w:tc>
              <w:tc>
                <w:tcPr>
                  <w:tcW w:w="332" w:type="dxa"/>
                  <w:vMerge w:val="continue"/>
                  <w:tcBorders>
                    <w:tl2br w:val="nil"/>
                    <w:tr2bl w:val="nil"/>
                  </w:tcBorders>
                  <w:tcMar>
                    <w:top w:w="0" w:type="dxa"/>
                    <w:left w:w="28" w:type="dxa"/>
                    <w:bottom w:w="0" w:type="dxa"/>
                    <w:right w:w="28" w:type="dxa"/>
                  </w:tcMar>
                  <w:vAlign w:val="center"/>
                </w:tcPr>
                <w:p w14:paraId="1BD09674">
                  <w:pPr>
                    <w:pStyle w:val="24"/>
                    <w:rPr>
                      <w:rFonts w:hint="default" w:ascii="Times New Roman" w:hAnsi="Times New Roman" w:cs="Times New Roman"/>
                      <w:sz w:val="18"/>
                      <w:szCs w:val="18"/>
                    </w:rPr>
                  </w:pPr>
                </w:p>
              </w:tc>
              <w:tc>
                <w:tcPr>
                  <w:tcW w:w="311" w:type="dxa"/>
                  <w:tcBorders>
                    <w:tl2br w:val="nil"/>
                    <w:tr2bl w:val="nil"/>
                  </w:tcBorders>
                  <w:tcMar>
                    <w:top w:w="0" w:type="dxa"/>
                    <w:left w:w="28" w:type="dxa"/>
                    <w:bottom w:w="0" w:type="dxa"/>
                    <w:right w:w="28" w:type="dxa"/>
                  </w:tcMar>
                  <w:vAlign w:val="center"/>
                </w:tcPr>
                <w:p w14:paraId="6DCE6D0D">
                  <w:pPr>
                    <w:pStyle w:val="24"/>
                    <w:rPr>
                      <w:rFonts w:hint="default" w:ascii="Times New Roman" w:hAnsi="Times New Roman" w:cs="Times New Roman"/>
                      <w:sz w:val="18"/>
                      <w:szCs w:val="18"/>
                    </w:rPr>
                  </w:pPr>
                  <w:r>
                    <w:rPr>
                      <w:rFonts w:hint="default" w:ascii="Times New Roman" w:hAnsi="Times New Roman" w:cs="Times New Roman"/>
                      <w:sz w:val="18"/>
                      <w:szCs w:val="18"/>
                    </w:rPr>
                    <w:t>9</w:t>
                  </w:r>
                </w:p>
              </w:tc>
              <w:tc>
                <w:tcPr>
                  <w:tcW w:w="354" w:type="dxa"/>
                  <w:vMerge w:val="continue"/>
                  <w:tcBorders>
                    <w:tl2br w:val="nil"/>
                    <w:tr2bl w:val="nil"/>
                  </w:tcBorders>
                  <w:tcMar>
                    <w:top w:w="0" w:type="dxa"/>
                    <w:left w:w="28" w:type="dxa"/>
                    <w:bottom w:w="0" w:type="dxa"/>
                    <w:right w:w="28" w:type="dxa"/>
                  </w:tcMar>
                  <w:vAlign w:val="center"/>
                </w:tcPr>
                <w:p w14:paraId="0C04C68A">
                  <w:pPr>
                    <w:pStyle w:val="24"/>
                    <w:rPr>
                      <w:rFonts w:hint="default" w:ascii="Times New Roman" w:hAnsi="Times New Roman" w:cs="Times New Roman"/>
                      <w:sz w:val="18"/>
                      <w:szCs w:val="18"/>
                    </w:rPr>
                  </w:pPr>
                </w:p>
              </w:tc>
              <w:tc>
                <w:tcPr>
                  <w:tcW w:w="510" w:type="dxa"/>
                  <w:vMerge w:val="continue"/>
                  <w:tcBorders>
                    <w:tl2br w:val="nil"/>
                    <w:tr2bl w:val="nil"/>
                  </w:tcBorders>
                  <w:tcMar>
                    <w:top w:w="0" w:type="dxa"/>
                    <w:left w:w="28" w:type="dxa"/>
                    <w:bottom w:w="0" w:type="dxa"/>
                    <w:right w:w="28" w:type="dxa"/>
                  </w:tcMar>
                  <w:vAlign w:val="center"/>
                </w:tcPr>
                <w:p w14:paraId="0635325B">
                  <w:pPr>
                    <w:pStyle w:val="24"/>
                    <w:rPr>
                      <w:rFonts w:hint="default" w:ascii="Times New Roman" w:hAnsi="Times New Roman" w:cs="Times New Roman"/>
                      <w:sz w:val="18"/>
                      <w:szCs w:val="18"/>
                    </w:rPr>
                  </w:pPr>
                </w:p>
              </w:tc>
              <w:tc>
                <w:tcPr>
                  <w:tcW w:w="615" w:type="dxa"/>
                  <w:tcBorders>
                    <w:tl2br w:val="nil"/>
                    <w:tr2bl w:val="nil"/>
                  </w:tcBorders>
                  <w:tcMar>
                    <w:top w:w="0" w:type="dxa"/>
                    <w:left w:w="28" w:type="dxa"/>
                    <w:bottom w:w="0" w:type="dxa"/>
                    <w:right w:w="28" w:type="dxa"/>
                  </w:tcMar>
                  <w:vAlign w:val="center"/>
                </w:tcPr>
                <w:p w14:paraId="00E0B85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198.38</w:t>
                  </w:r>
                </w:p>
              </w:tc>
              <w:tc>
                <w:tcPr>
                  <w:tcW w:w="660" w:type="dxa"/>
                  <w:tcBorders>
                    <w:tl2br w:val="nil"/>
                    <w:tr2bl w:val="nil"/>
                  </w:tcBorders>
                  <w:tcMar>
                    <w:top w:w="0" w:type="dxa"/>
                    <w:left w:w="28" w:type="dxa"/>
                    <w:bottom w:w="0" w:type="dxa"/>
                    <w:right w:w="28" w:type="dxa"/>
                  </w:tcMar>
                  <w:vAlign w:val="center"/>
                </w:tcPr>
                <w:p w14:paraId="602DCE9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0.2857</w:t>
                  </w:r>
                </w:p>
              </w:tc>
              <w:tc>
                <w:tcPr>
                  <w:tcW w:w="480" w:type="dxa"/>
                  <w:tcBorders>
                    <w:tl2br w:val="nil"/>
                    <w:tr2bl w:val="nil"/>
                  </w:tcBorders>
                  <w:tcMar>
                    <w:top w:w="0" w:type="dxa"/>
                    <w:left w:w="28" w:type="dxa"/>
                    <w:bottom w:w="0" w:type="dxa"/>
                    <w:right w:w="28" w:type="dxa"/>
                  </w:tcMar>
                  <w:vAlign w:val="center"/>
                </w:tcPr>
                <w:p w14:paraId="1D23E2F8">
                  <w:pPr>
                    <w:pStyle w:val="24"/>
                    <w:rPr>
                      <w:rFonts w:hint="default" w:ascii="Times New Roman" w:hAnsi="Times New Roman" w:cs="Times New Roman"/>
                      <w:sz w:val="18"/>
                      <w:szCs w:val="18"/>
                    </w:rPr>
                  </w:pPr>
                  <w:r>
                    <w:rPr>
                      <w:rFonts w:hint="default" w:ascii="Times New Roman" w:hAnsi="Times New Roman" w:cs="Times New Roman"/>
                      <w:sz w:val="18"/>
                      <w:szCs w:val="18"/>
                    </w:rPr>
                    <w:t>10</w:t>
                  </w:r>
                </w:p>
              </w:tc>
              <w:tc>
                <w:tcPr>
                  <w:tcW w:w="646" w:type="dxa"/>
                  <w:tcBorders>
                    <w:tl2br w:val="nil"/>
                    <w:tr2bl w:val="nil"/>
                  </w:tcBorders>
                  <w:tcMar>
                    <w:top w:w="0" w:type="dxa"/>
                    <w:left w:w="28" w:type="dxa"/>
                    <w:bottom w:w="0" w:type="dxa"/>
                    <w:right w:w="28" w:type="dxa"/>
                  </w:tcMar>
                  <w:vAlign w:val="center"/>
                </w:tcPr>
                <w:p w14:paraId="2A0C4F3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0.0144</w:t>
                  </w:r>
                </w:p>
              </w:tc>
              <w:tc>
                <w:tcPr>
                  <w:tcW w:w="283" w:type="dxa"/>
                  <w:vMerge w:val="continue"/>
                  <w:tcBorders>
                    <w:tl2br w:val="nil"/>
                    <w:tr2bl w:val="nil"/>
                  </w:tcBorders>
                  <w:tcMar>
                    <w:top w:w="0" w:type="dxa"/>
                    <w:left w:w="28" w:type="dxa"/>
                    <w:bottom w:w="0" w:type="dxa"/>
                    <w:right w:w="28" w:type="dxa"/>
                  </w:tcMar>
                  <w:vAlign w:val="center"/>
                </w:tcPr>
                <w:p w14:paraId="04A256EB">
                  <w:pPr>
                    <w:pStyle w:val="24"/>
                    <w:rPr>
                      <w:rFonts w:hint="default" w:ascii="Times New Roman" w:hAnsi="Times New Roman" w:cs="Times New Roman"/>
                      <w:sz w:val="18"/>
                      <w:szCs w:val="18"/>
                    </w:rPr>
                  </w:pPr>
                </w:p>
              </w:tc>
              <w:tc>
                <w:tcPr>
                  <w:tcW w:w="283" w:type="dxa"/>
                  <w:vMerge w:val="continue"/>
                  <w:tcBorders>
                    <w:tl2br w:val="nil"/>
                    <w:tr2bl w:val="nil"/>
                  </w:tcBorders>
                  <w:tcMar>
                    <w:top w:w="0" w:type="dxa"/>
                    <w:left w:w="28" w:type="dxa"/>
                    <w:bottom w:w="0" w:type="dxa"/>
                    <w:right w:w="28" w:type="dxa"/>
                  </w:tcMar>
                  <w:vAlign w:val="center"/>
                </w:tcPr>
                <w:p w14:paraId="29C71677">
                  <w:pPr>
                    <w:pStyle w:val="24"/>
                    <w:rPr>
                      <w:rFonts w:hint="default" w:ascii="Times New Roman" w:hAnsi="Times New Roman" w:cs="Times New Roman"/>
                      <w:sz w:val="18"/>
                      <w:szCs w:val="18"/>
                    </w:rPr>
                  </w:pPr>
                </w:p>
              </w:tc>
              <w:tc>
                <w:tcPr>
                  <w:tcW w:w="334" w:type="dxa"/>
                  <w:vMerge w:val="continue"/>
                  <w:tcBorders>
                    <w:tl2br w:val="nil"/>
                    <w:tr2bl w:val="nil"/>
                  </w:tcBorders>
                  <w:tcMar>
                    <w:top w:w="0" w:type="dxa"/>
                    <w:left w:w="28" w:type="dxa"/>
                    <w:bottom w:w="0" w:type="dxa"/>
                    <w:right w:w="28" w:type="dxa"/>
                  </w:tcMar>
                  <w:vAlign w:val="center"/>
                </w:tcPr>
                <w:p w14:paraId="791588F4">
                  <w:pPr>
                    <w:pStyle w:val="24"/>
                    <w:rPr>
                      <w:rFonts w:hint="default" w:ascii="Times New Roman" w:hAnsi="Times New Roman" w:cs="Times New Roman"/>
                      <w:sz w:val="18"/>
                      <w:szCs w:val="18"/>
                    </w:rPr>
                  </w:pPr>
                </w:p>
              </w:tc>
              <w:tc>
                <w:tcPr>
                  <w:tcW w:w="719" w:type="dxa"/>
                  <w:vMerge w:val="continue"/>
                  <w:tcBorders>
                    <w:tl2br w:val="nil"/>
                    <w:tr2bl w:val="nil"/>
                  </w:tcBorders>
                  <w:tcMar>
                    <w:top w:w="0" w:type="dxa"/>
                    <w:left w:w="28" w:type="dxa"/>
                    <w:bottom w:w="0" w:type="dxa"/>
                    <w:right w:w="28" w:type="dxa"/>
                  </w:tcMar>
                  <w:vAlign w:val="center"/>
                </w:tcPr>
                <w:p w14:paraId="371E5959">
                  <w:pPr>
                    <w:pStyle w:val="24"/>
                    <w:rPr>
                      <w:rFonts w:hint="default" w:ascii="Times New Roman" w:hAnsi="Times New Roman" w:cs="Times New Roman"/>
                      <w:sz w:val="18"/>
                      <w:szCs w:val="18"/>
                    </w:rPr>
                  </w:pPr>
                </w:p>
              </w:tc>
              <w:tc>
                <w:tcPr>
                  <w:tcW w:w="240" w:type="dxa"/>
                  <w:vMerge w:val="continue"/>
                  <w:tcBorders>
                    <w:tl2br w:val="nil"/>
                    <w:tr2bl w:val="nil"/>
                  </w:tcBorders>
                  <w:tcMar>
                    <w:top w:w="0" w:type="dxa"/>
                    <w:left w:w="28" w:type="dxa"/>
                    <w:bottom w:w="0" w:type="dxa"/>
                    <w:right w:w="28" w:type="dxa"/>
                  </w:tcMar>
                  <w:vAlign w:val="center"/>
                </w:tcPr>
                <w:p w14:paraId="6F178623">
                  <w:pPr>
                    <w:pStyle w:val="24"/>
                    <w:rPr>
                      <w:rFonts w:hint="default" w:ascii="Times New Roman" w:hAnsi="Times New Roman" w:cs="Times New Roman"/>
                      <w:sz w:val="18"/>
                      <w:szCs w:val="18"/>
                    </w:rPr>
                  </w:pPr>
                </w:p>
              </w:tc>
              <w:tc>
                <w:tcPr>
                  <w:tcW w:w="336" w:type="dxa"/>
                  <w:vMerge w:val="continue"/>
                  <w:tcBorders>
                    <w:tl2br w:val="nil"/>
                    <w:tr2bl w:val="nil"/>
                  </w:tcBorders>
                  <w:tcMar>
                    <w:top w:w="0" w:type="dxa"/>
                    <w:left w:w="28" w:type="dxa"/>
                    <w:bottom w:w="0" w:type="dxa"/>
                    <w:right w:w="28" w:type="dxa"/>
                  </w:tcMar>
                  <w:vAlign w:val="center"/>
                </w:tcPr>
                <w:p w14:paraId="30FB890A">
                  <w:pPr>
                    <w:pStyle w:val="24"/>
                    <w:rPr>
                      <w:rFonts w:hint="default" w:ascii="Times New Roman" w:hAnsi="Times New Roman" w:cs="Times New Roman"/>
                      <w:sz w:val="18"/>
                      <w:szCs w:val="18"/>
                    </w:rPr>
                  </w:pPr>
                </w:p>
              </w:tc>
              <w:tc>
                <w:tcPr>
                  <w:tcW w:w="364" w:type="dxa"/>
                  <w:vMerge w:val="continue"/>
                  <w:tcBorders>
                    <w:tl2br w:val="nil"/>
                    <w:tr2bl w:val="nil"/>
                  </w:tcBorders>
                  <w:tcMar>
                    <w:top w:w="0" w:type="dxa"/>
                    <w:left w:w="28" w:type="dxa"/>
                    <w:bottom w:w="0" w:type="dxa"/>
                    <w:right w:w="28" w:type="dxa"/>
                  </w:tcMar>
                  <w:vAlign w:val="center"/>
                </w:tcPr>
                <w:p w14:paraId="67852EE4">
                  <w:pPr>
                    <w:pStyle w:val="24"/>
                    <w:rPr>
                      <w:rFonts w:hint="default" w:ascii="Times New Roman" w:hAnsi="Times New Roman" w:cs="Times New Roman"/>
                      <w:sz w:val="18"/>
                      <w:szCs w:val="18"/>
                    </w:rPr>
                  </w:pPr>
                </w:p>
              </w:tc>
              <w:tc>
                <w:tcPr>
                  <w:tcW w:w="1061" w:type="dxa"/>
                  <w:vMerge w:val="continue"/>
                  <w:tcBorders>
                    <w:tl2br w:val="nil"/>
                    <w:tr2bl w:val="nil"/>
                  </w:tcBorders>
                  <w:tcMar>
                    <w:top w:w="0" w:type="dxa"/>
                    <w:left w:w="28" w:type="dxa"/>
                    <w:bottom w:w="0" w:type="dxa"/>
                    <w:right w:w="28" w:type="dxa"/>
                  </w:tcMar>
                  <w:vAlign w:val="center"/>
                </w:tcPr>
                <w:p w14:paraId="07C2D88F">
                  <w:pPr>
                    <w:pStyle w:val="24"/>
                    <w:rPr>
                      <w:rFonts w:hint="default" w:ascii="Times New Roman" w:hAnsi="Times New Roman" w:cs="Times New Roman"/>
                      <w:sz w:val="18"/>
                      <w:szCs w:val="18"/>
                    </w:rPr>
                  </w:pPr>
                </w:p>
              </w:tc>
              <w:tc>
                <w:tcPr>
                  <w:tcW w:w="439" w:type="dxa"/>
                  <w:tcBorders>
                    <w:tl2br w:val="nil"/>
                    <w:tr2bl w:val="nil"/>
                  </w:tcBorders>
                  <w:tcMar>
                    <w:top w:w="0" w:type="dxa"/>
                    <w:left w:w="28" w:type="dxa"/>
                    <w:bottom w:w="0" w:type="dxa"/>
                    <w:right w:w="28" w:type="dxa"/>
                  </w:tcMar>
                  <w:vAlign w:val="center"/>
                </w:tcPr>
                <w:p w14:paraId="22628976">
                  <w:pPr>
                    <w:pStyle w:val="24"/>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300</w:t>
                  </w:r>
                </w:p>
              </w:tc>
              <w:tc>
                <w:tcPr>
                  <w:tcW w:w="343" w:type="dxa"/>
                  <w:vMerge w:val="continue"/>
                  <w:tcBorders>
                    <w:tl2br w:val="nil"/>
                    <w:tr2bl w:val="nil"/>
                  </w:tcBorders>
                  <w:tcMar>
                    <w:top w:w="0" w:type="dxa"/>
                    <w:left w:w="28" w:type="dxa"/>
                    <w:bottom w:w="0" w:type="dxa"/>
                    <w:right w:w="28" w:type="dxa"/>
                  </w:tcMar>
                  <w:vAlign w:val="center"/>
                </w:tcPr>
                <w:p w14:paraId="335A8173">
                  <w:pPr>
                    <w:pStyle w:val="24"/>
                    <w:rPr>
                      <w:rFonts w:hint="default" w:ascii="Times New Roman" w:hAnsi="Times New Roman" w:cs="Times New Roman"/>
                      <w:sz w:val="18"/>
                      <w:szCs w:val="18"/>
                    </w:rPr>
                  </w:pPr>
                </w:p>
              </w:tc>
              <w:tc>
                <w:tcPr>
                  <w:tcW w:w="829" w:type="dxa"/>
                  <w:vMerge w:val="continue"/>
                  <w:tcBorders>
                    <w:tl2br w:val="nil"/>
                    <w:tr2bl w:val="nil"/>
                  </w:tcBorders>
                  <w:tcMar>
                    <w:top w:w="0" w:type="dxa"/>
                    <w:left w:w="28" w:type="dxa"/>
                    <w:bottom w:w="0" w:type="dxa"/>
                    <w:right w:w="28" w:type="dxa"/>
                  </w:tcMar>
                  <w:vAlign w:val="center"/>
                </w:tcPr>
                <w:p w14:paraId="4F9FE902">
                  <w:pPr>
                    <w:pStyle w:val="24"/>
                    <w:rPr>
                      <w:rFonts w:hint="default" w:ascii="Times New Roman" w:hAnsi="Times New Roman" w:cs="Times New Roman"/>
                      <w:sz w:val="18"/>
                      <w:szCs w:val="18"/>
                    </w:rPr>
                  </w:pPr>
                </w:p>
              </w:tc>
              <w:tc>
                <w:tcPr>
                  <w:tcW w:w="333" w:type="dxa"/>
                  <w:vMerge w:val="continue"/>
                  <w:tcBorders>
                    <w:tl2br w:val="nil"/>
                    <w:tr2bl w:val="nil"/>
                  </w:tcBorders>
                  <w:tcMar>
                    <w:top w:w="0" w:type="dxa"/>
                    <w:left w:w="28" w:type="dxa"/>
                    <w:bottom w:w="0" w:type="dxa"/>
                    <w:right w:w="28" w:type="dxa"/>
                  </w:tcMar>
                  <w:vAlign w:val="center"/>
                </w:tcPr>
                <w:p w14:paraId="4DB8FDA1">
                  <w:pPr>
                    <w:pStyle w:val="24"/>
                    <w:rPr>
                      <w:rFonts w:hint="default" w:ascii="Times New Roman" w:hAnsi="Times New Roman" w:cs="Times New Roman"/>
                      <w:sz w:val="18"/>
                      <w:szCs w:val="18"/>
                    </w:rPr>
                  </w:pPr>
                </w:p>
              </w:tc>
              <w:tc>
                <w:tcPr>
                  <w:tcW w:w="501" w:type="dxa"/>
                  <w:vMerge w:val="continue"/>
                  <w:tcBorders>
                    <w:tl2br w:val="nil"/>
                    <w:tr2bl w:val="nil"/>
                  </w:tcBorders>
                  <w:tcMar>
                    <w:top w:w="0" w:type="dxa"/>
                    <w:left w:w="28" w:type="dxa"/>
                    <w:bottom w:w="0" w:type="dxa"/>
                    <w:right w:w="28" w:type="dxa"/>
                  </w:tcMar>
                  <w:vAlign w:val="center"/>
                </w:tcPr>
                <w:p w14:paraId="2DF0017C">
                  <w:pPr>
                    <w:pStyle w:val="24"/>
                    <w:rPr>
                      <w:rFonts w:hint="default" w:ascii="Times New Roman" w:hAnsi="Times New Roman" w:cs="Times New Roman"/>
                      <w:sz w:val="18"/>
                      <w:szCs w:val="18"/>
                    </w:rPr>
                  </w:pPr>
                </w:p>
              </w:tc>
            </w:tr>
            <w:tr w14:paraId="670EA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10" w:type="dxa"/>
                  <w:gridSpan w:val="2"/>
                  <w:vMerge w:val="continue"/>
                  <w:tcBorders>
                    <w:tl2br w:val="nil"/>
                    <w:tr2bl w:val="nil"/>
                  </w:tcBorders>
                  <w:tcMar>
                    <w:top w:w="0" w:type="dxa"/>
                    <w:left w:w="28" w:type="dxa"/>
                    <w:bottom w:w="0" w:type="dxa"/>
                    <w:right w:w="28" w:type="dxa"/>
                  </w:tcMar>
                  <w:vAlign w:val="center"/>
                </w:tcPr>
                <w:p w14:paraId="567ABB02">
                  <w:pPr>
                    <w:pStyle w:val="24"/>
                    <w:rPr>
                      <w:rFonts w:hint="default" w:ascii="Times New Roman" w:hAnsi="Times New Roman" w:cs="Times New Roman"/>
                      <w:sz w:val="18"/>
                      <w:szCs w:val="18"/>
                    </w:rPr>
                  </w:pPr>
                </w:p>
              </w:tc>
              <w:tc>
                <w:tcPr>
                  <w:tcW w:w="568" w:type="dxa"/>
                  <w:tcBorders>
                    <w:tl2br w:val="nil"/>
                    <w:tr2bl w:val="nil"/>
                  </w:tcBorders>
                  <w:tcMar>
                    <w:top w:w="0" w:type="dxa"/>
                    <w:left w:w="28" w:type="dxa"/>
                    <w:bottom w:w="0" w:type="dxa"/>
                    <w:right w:w="28" w:type="dxa"/>
                  </w:tcMar>
                  <w:vAlign w:val="center"/>
                </w:tcPr>
                <w:p w14:paraId="2763ED87">
                  <w:pPr>
                    <w:pStyle w:val="24"/>
                    <w:rPr>
                      <w:rFonts w:hint="default" w:ascii="Times New Roman" w:hAnsi="Times New Roman" w:cs="Times New Roman"/>
                      <w:sz w:val="18"/>
                      <w:szCs w:val="18"/>
                    </w:rPr>
                  </w:pPr>
                  <w:r>
                    <w:rPr>
                      <w:rFonts w:hint="default" w:ascii="Times New Roman" w:hAnsi="Times New Roman" w:cs="Times New Roman"/>
                      <w:sz w:val="18"/>
                      <w:szCs w:val="18"/>
                    </w:rPr>
                    <w:t>SS</w:t>
                  </w:r>
                </w:p>
              </w:tc>
              <w:tc>
                <w:tcPr>
                  <w:tcW w:w="330" w:type="dxa"/>
                  <w:vMerge w:val="continue"/>
                  <w:tcBorders>
                    <w:tl2br w:val="nil"/>
                    <w:tr2bl w:val="nil"/>
                  </w:tcBorders>
                  <w:tcMar>
                    <w:top w:w="0" w:type="dxa"/>
                    <w:left w:w="28" w:type="dxa"/>
                    <w:bottom w:w="0" w:type="dxa"/>
                    <w:right w:w="28" w:type="dxa"/>
                  </w:tcMar>
                  <w:vAlign w:val="center"/>
                </w:tcPr>
                <w:p w14:paraId="67B7D81B">
                  <w:pPr>
                    <w:pStyle w:val="24"/>
                    <w:rPr>
                      <w:rFonts w:hint="default" w:ascii="Times New Roman" w:hAnsi="Times New Roman" w:cs="Times New Roman"/>
                      <w:sz w:val="18"/>
                      <w:szCs w:val="18"/>
                    </w:rPr>
                  </w:pPr>
                </w:p>
              </w:tc>
              <w:tc>
                <w:tcPr>
                  <w:tcW w:w="420" w:type="dxa"/>
                  <w:vMerge w:val="continue"/>
                  <w:tcBorders>
                    <w:tl2br w:val="nil"/>
                    <w:tr2bl w:val="nil"/>
                  </w:tcBorders>
                  <w:tcMar>
                    <w:top w:w="0" w:type="dxa"/>
                    <w:left w:w="28" w:type="dxa"/>
                    <w:bottom w:w="0" w:type="dxa"/>
                    <w:right w:w="28" w:type="dxa"/>
                  </w:tcMar>
                  <w:vAlign w:val="center"/>
                </w:tcPr>
                <w:p w14:paraId="5C513030">
                  <w:pPr>
                    <w:pStyle w:val="24"/>
                    <w:rPr>
                      <w:rFonts w:hint="default" w:ascii="Times New Roman" w:hAnsi="Times New Roman" w:cs="Times New Roman"/>
                      <w:sz w:val="18"/>
                      <w:szCs w:val="18"/>
                    </w:rPr>
                  </w:pPr>
                </w:p>
              </w:tc>
              <w:tc>
                <w:tcPr>
                  <w:tcW w:w="472" w:type="dxa"/>
                  <w:tcBorders>
                    <w:tl2br w:val="nil"/>
                    <w:tr2bl w:val="nil"/>
                  </w:tcBorders>
                  <w:tcMar>
                    <w:top w:w="0" w:type="dxa"/>
                    <w:left w:w="28" w:type="dxa"/>
                    <w:bottom w:w="0" w:type="dxa"/>
                    <w:right w:w="28" w:type="dxa"/>
                  </w:tcMar>
                  <w:vAlign w:val="center"/>
                </w:tcPr>
                <w:p w14:paraId="3D28474C">
                  <w:pPr>
                    <w:pStyle w:val="24"/>
                    <w:rPr>
                      <w:rFonts w:hint="default" w:ascii="Times New Roman" w:hAnsi="Times New Roman" w:cs="Times New Roman"/>
                      <w:sz w:val="18"/>
                      <w:szCs w:val="18"/>
                    </w:rPr>
                  </w:pPr>
                  <w:r>
                    <w:rPr>
                      <w:rFonts w:hint="default" w:ascii="Times New Roman" w:hAnsi="Times New Roman" w:cs="Times New Roman"/>
                      <w:sz w:val="18"/>
                      <w:szCs w:val="18"/>
                    </w:rPr>
                    <w:t>220</w:t>
                  </w:r>
                </w:p>
              </w:tc>
              <w:tc>
                <w:tcPr>
                  <w:tcW w:w="675" w:type="dxa"/>
                  <w:tcBorders>
                    <w:tl2br w:val="nil"/>
                    <w:tr2bl w:val="nil"/>
                  </w:tcBorders>
                  <w:tcMar>
                    <w:top w:w="0" w:type="dxa"/>
                    <w:left w:w="28" w:type="dxa"/>
                    <w:bottom w:w="0" w:type="dxa"/>
                    <w:right w:w="28" w:type="dxa"/>
                  </w:tcMar>
                  <w:vAlign w:val="center"/>
                </w:tcPr>
                <w:p w14:paraId="13412C9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0.3168</w:t>
                  </w:r>
                </w:p>
              </w:tc>
              <w:tc>
                <w:tcPr>
                  <w:tcW w:w="278" w:type="dxa"/>
                  <w:vMerge w:val="continue"/>
                  <w:tcBorders>
                    <w:tl2br w:val="nil"/>
                    <w:tr2bl w:val="nil"/>
                  </w:tcBorders>
                  <w:tcMar>
                    <w:top w:w="0" w:type="dxa"/>
                    <w:left w:w="28" w:type="dxa"/>
                    <w:bottom w:w="0" w:type="dxa"/>
                    <w:right w:w="28" w:type="dxa"/>
                  </w:tcMar>
                  <w:vAlign w:val="center"/>
                </w:tcPr>
                <w:p w14:paraId="54BB5DF3">
                  <w:pPr>
                    <w:pStyle w:val="24"/>
                    <w:rPr>
                      <w:rFonts w:hint="default" w:ascii="Times New Roman" w:hAnsi="Times New Roman" w:cs="Times New Roman"/>
                      <w:sz w:val="18"/>
                      <w:szCs w:val="18"/>
                    </w:rPr>
                  </w:pPr>
                </w:p>
              </w:tc>
              <w:tc>
                <w:tcPr>
                  <w:tcW w:w="332" w:type="dxa"/>
                  <w:vMerge w:val="continue"/>
                  <w:tcBorders>
                    <w:tl2br w:val="nil"/>
                    <w:tr2bl w:val="nil"/>
                  </w:tcBorders>
                  <w:tcMar>
                    <w:top w:w="0" w:type="dxa"/>
                    <w:left w:w="28" w:type="dxa"/>
                    <w:bottom w:w="0" w:type="dxa"/>
                    <w:right w:w="28" w:type="dxa"/>
                  </w:tcMar>
                  <w:vAlign w:val="center"/>
                </w:tcPr>
                <w:p w14:paraId="5A48E98A">
                  <w:pPr>
                    <w:pStyle w:val="24"/>
                    <w:rPr>
                      <w:rFonts w:hint="default" w:ascii="Times New Roman" w:hAnsi="Times New Roman" w:cs="Times New Roman"/>
                      <w:sz w:val="18"/>
                      <w:szCs w:val="18"/>
                    </w:rPr>
                  </w:pPr>
                </w:p>
              </w:tc>
              <w:tc>
                <w:tcPr>
                  <w:tcW w:w="311" w:type="dxa"/>
                  <w:tcBorders>
                    <w:tl2br w:val="nil"/>
                    <w:tr2bl w:val="nil"/>
                  </w:tcBorders>
                  <w:tcMar>
                    <w:top w:w="0" w:type="dxa"/>
                    <w:left w:w="28" w:type="dxa"/>
                    <w:bottom w:w="0" w:type="dxa"/>
                    <w:right w:w="28" w:type="dxa"/>
                  </w:tcMar>
                  <w:vAlign w:val="center"/>
                </w:tcPr>
                <w:p w14:paraId="34DEDBF3">
                  <w:pPr>
                    <w:pStyle w:val="24"/>
                    <w:rPr>
                      <w:rFonts w:hint="default" w:ascii="Times New Roman" w:hAnsi="Times New Roman" w:cs="Times New Roman"/>
                      <w:sz w:val="18"/>
                      <w:szCs w:val="18"/>
                    </w:rPr>
                  </w:pPr>
                  <w:r>
                    <w:rPr>
                      <w:rFonts w:hint="default" w:ascii="Times New Roman" w:hAnsi="Times New Roman" w:cs="Times New Roman"/>
                      <w:sz w:val="18"/>
                      <w:szCs w:val="18"/>
                    </w:rPr>
                    <w:t>30</w:t>
                  </w:r>
                </w:p>
              </w:tc>
              <w:tc>
                <w:tcPr>
                  <w:tcW w:w="354" w:type="dxa"/>
                  <w:vMerge w:val="continue"/>
                  <w:tcBorders>
                    <w:tl2br w:val="nil"/>
                    <w:tr2bl w:val="nil"/>
                  </w:tcBorders>
                  <w:tcMar>
                    <w:top w:w="0" w:type="dxa"/>
                    <w:left w:w="28" w:type="dxa"/>
                    <w:bottom w:w="0" w:type="dxa"/>
                    <w:right w:w="28" w:type="dxa"/>
                  </w:tcMar>
                  <w:vAlign w:val="center"/>
                </w:tcPr>
                <w:p w14:paraId="37ED1DEB">
                  <w:pPr>
                    <w:pStyle w:val="24"/>
                    <w:rPr>
                      <w:rFonts w:hint="default" w:ascii="Times New Roman" w:hAnsi="Times New Roman" w:cs="Times New Roman"/>
                      <w:sz w:val="18"/>
                      <w:szCs w:val="18"/>
                    </w:rPr>
                  </w:pPr>
                </w:p>
              </w:tc>
              <w:tc>
                <w:tcPr>
                  <w:tcW w:w="510" w:type="dxa"/>
                  <w:vMerge w:val="continue"/>
                  <w:tcBorders>
                    <w:tl2br w:val="nil"/>
                    <w:tr2bl w:val="nil"/>
                  </w:tcBorders>
                  <w:tcMar>
                    <w:top w:w="0" w:type="dxa"/>
                    <w:left w:w="28" w:type="dxa"/>
                    <w:bottom w:w="0" w:type="dxa"/>
                    <w:right w:w="28" w:type="dxa"/>
                  </w:tcMar>
                  <w:vAlign w:val="center"/>
                </w:tcPr>
                <w:p w14:paraId="1A5E2D70">
                  <w:pPr>
                    <w:pStyle w:val="24"/>
                    <w:rPr>
                      <w:rFonts w:hint="default" w:ascii="Times New Roman" w:hAnsi="Times New Roman" w:cs="Times New Roman"/>
                      <w:sz w:val="18"/>
                      <w:szCs w:val="18"/>
                    </w:rPr>
                  </w:pPr>
                </w:p>
              </w:tc>
              <w:tc>
                <w:tcPr>
                  <w:tcW w:w="615" w:type="dxa"/>
                  <w:tcBorders>
                    <w:tl2br w:val="nil"/>
                    <w:tr2bl w:val="nil"/>
                  </w:tcBorders>
                  <w:tcMar>
                    <w:top w:w="0" w:type="dxa"/>
                    <w:left w:w="28" w:type="dxa"/>
                    <w:bottom w:w="0" w:type="dxa"/>
                    <w:right w:w="28" w:type="dxa"/>
                  </w:tcMar>
                  <w:vAlign w:val="center"/>
                </w:tcPr>
                <w:p w14:paraId="48D933B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660" w:type="dxa"/>
                  <w:tcBorders>
                    <w:tl2br w:val="nil"/>
                    <w:tr2bl w:val="nil"/>
                  </w:tcBorders>
                  <w:tcMar>
                    <w:top w:w="0" w:type="dxa"/>
                    <w:left w:w="28" w:type="dxa"/>
                    <w:bottom w:w="0" w:type="dxa"/>
                    <w:right w:w="28" w:type="dxa"/>
                  </w:tcMar>
                  <w:vAlign w:val="center"/>
                </w:tcPr>
                <w:p w14:paraId="6A8BF158">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0.2218</w:t>
                  </w:r>
                </w:p>
              </w:tc>
              <w:tc>
                <w:tcPr>
                  <w:tcW w:w="480" w:type="dxa"/>
                  <w:tcBorders>
                    <w:tl2br w:val="nil"/>
                    <w:tr2bl w:val="nil"/>
                  </w:tcBorders>
                  <w:tcMar>
                    <w:top w:w="0" w:type="dxa"/>
                    <w:left w:w="28" w:type="dxa"/>
                    <w:bottom w:w="0" w:type="dxa"/>
                    <w:right w:w="28" w:type="dxa"/>
                  </w:tcMar>
                  <w:vAlign w:val="center"/>
                </w:tcPr>
                <w:p w14:paraId="0EA110FD">
                  <w:pPr>
                    <w:pStyle w:val="24"/>
                    <w:rPr>
                      <w:rFonts w:hint="default" w:ascii="Times New Roman" w:hAnsi="Times New Roman" w:cs="Times New Roman"/>
                      <w:sz w:val="18"/>
                      <w:szCs w:val="18"/>
                    </w:rPr>
                  </w:pPr>
                  <w:r>
                    <w:rPr>
                      <w:rFonts w:hint="default" w:ascii="Times New Roman" w:hAnsi="Times New Roman" w:cs="Times New Roman"/>
                      <w:sz w:val="18"/>
                      <w:szCs w:val="18"/>
                    </w:rPr>
                    <w:t>10</w:t>
                  </w:r>
                </w:p>
              </w:tc>
              <w:tc>
                <w:tcPr>
                  <w:tcW w:w="646" w:type="dxa"/>
                  <w:tcBorders>
                    <w:tl2br w:val="nil"/>
                    <w:tr2bl w:val="nil"/>
                  </w:tcBorders>
                  <w:tcMar>
                    <w:top w:w="0" w:type="dxa"/>
                    <w:left w:w="28" w:type="dxa"/>
                    <w:bottom w:w="0" w:type="dxa"/>
                    <w:right w:w="28" w:type="dxa"/>
                  </w:tcMar>
                  <w:vAlign w:val="center"/>
                </w:tcPr>
                <w:p w14:paraId="43EBA953">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0.0144</w:t>
                  </w:r>
                </w:p>
              </w:tc>
              <w:tc>
                <w:tcPr>
                  <w:tcW w:w="283" w:type="dxa"/>
                  <w:vMerge w:val="continue"/>
                  <w:tcBorders>
                    <w:tl2br w:val="nil"/>
                    <w:tr2bl w:val="nil"/>
                  </w:tcBorders>
                  <w:tcMar>
                    <w:top w:w="0" w:type="dxa"/>
                    <w:left w:w="28" w:type="dxa"/>
                    <w:bottom w:w="0" w:type="dxa"/>
                    <w:right w:w="28" w:type="dxa"/>
                  </w:tcMar>
                  <w:vAlign w:val="center"/>
                </w:tcPr>
                <w:p w14:paraId="4F8F0375">
                  <w:pPr>
                    <w:pStyle w:val="24"/>
                    <w:rPr>
                      <w:rFonts w:hint="default" w:ascii="Times New Roman" w:hAnsi="Times New Roman" w:cs="Times New Roman"/>
                      <w:sz w:val="18"/>
                      <w:szCs w:val="18"/>
                    </w:rPr>
                  </w:pPr>
                </w:p>
              </w:tc>
              <w:tc>
                <w:tcPr>
                  <w:tcW w:w="283" w:type="dxa"/>
                  <w:vMerge w:val="continue"/>
                  <w:tcBorders>
                    <w:tl2br w:val="nil"/>
                    <w:tr2bl w:val="nil"/>
                  </w:tcBorders>
                  <w:tcMar>
                    <w:top w:w="0" w:type="dxa"/>
                    <w:left w:w="28" w:type="dxa"/>
                    <w:bottom w:w="0" w:type="dxa"/>
                    <w:right w:w="28" w:type="dxa"/>
                  </w:tcMar>
                  <w:vAlign w:val="center"/>
                </w:tcPr>
                <w:p w14:paraId="1B6E2A1A">
                  <w:pPr>
                    <w:pStyle w:val="24"/>
                    <w:rPr>
                      <w:rFonts w:hint="default" w:ascii="Times New Roman" w:hAnsi="Times New Roman" w:cs="Times New Roman"/>
                      <w:sz w:val="18"/>
                      <w:szCs w:val="18"/>
                    </w:rPr>
                  </w:pPr>
                </w:p>
              </w:tc>
              <w:tc>
                <w:tcPr>
                  <w:tcW w:w="334" w:type="dxa"/>
                  <w:vMerge w:val="continue"/>
                  <w:tcBorders>
                    <w:tl2br w:val="nil"/>
                    <w:tr2bl w:val="nil"/>
                  </w:tcBorders>
                  <w:tcMar>
                    <w:top w:w="0" w:type="dxa"/>
                    <w:left w:w="28" w:type="dxa"/>
                    <w:bottom w:w="0" w:type="dxa"/>
                    <w:right w:w="28" w:type="dxa"/>
                  </w:tcMar>
                  <w:vAlign w:val="center"/>
                </w:tcPr>
                <w:p w14:paraId="66AD4D7B">
                  <w:pPr>
                    <w:pStyle w:val="24"/>
                    <w:rPr>
                      <w:rFonts w:hint="default" w:ascii="Times New Roman" w:hAnsi="Times New Roman" w:cs="Times New Roman"/>
                      <w:sz w:val="18"/>
                      <w:szCs w:val="18"/>
                    </w:rPr>
                  </w:pPr>
                </w:p>
              </w:tc>
              <w:tc>
                <w:tcPr>
                  <w:tcW w:w="719" w:type="dxa"/>
                  <w:vMerge w:val="continue"/>
                  <w:tcBorders>
                    <w:tl2br w:val="nil"/>
                    <w:tr2bl w:val="nil"/>
                  </w:tcBorders>
                  <w:tcMar>
                    <w:top w:w="0" w:type="dxa"/>
                    <w:left w:w="28" w:type="dxa"/>
                    <w:bottom w:w="0" w:type="dxa"/>
                    <w:right w:w="28" w:type="dxa"/>
                  </w:tcMar>
                  <w:vAlign w:val="center"/>
                </w:tcPr>
                <w:p w14:paraId="7E211C9A">
                  <w:pPr>
                    <w:pStyle w:val="24"/>
                    <w:rPr>
                      <w:rFonts w:hint="default" w:ascii="Times New Roman" w:hAnsi="Times New Roman" w:cs="Times New Roman"/>
                      <w:sz w:val="18"/>
                      <w:szCs w:val="18"/>
                    </w:rPr>
                  </w:pPr>
                </w:p>
              </w:tc>
              <w:tc>
                <w:tcPr>
                  <w:tcW w:w="240" w:type="dxa"/>
                  <w:vMerge w:val="continue"/>
                  <w:tcBorders>
                    <w:tl2br w:val="nil"/>
                    <w:tr2bl w:val="nil"/>
                  </w:tcBorders>
                  <w:tcMar>
                    <w:top w:w="0" w:type="dxa"/>
                    <w:left w:w="28" w:type="dxa"/>
                    <w:bottom w:w="0" w:type="dxa"/>
                    <w:right w:w="28" w:type="dxa"/>
                  </w:tcMar>
                  <w:vAlign w:val="center"/>
                </w:tcPr>
                <w:p w14:paraId="69AEFDD6">
                  <w:pPr>
                    <w:pStyle w:val="24"/>
                    <w:rPr>
                      <w:rFonts w:hint="default" w:ascii="Times New Roman" w:hAnsi="Times New Roman" w:cs="Times New Roman"/>
                      <w:sz w:val="18"/>
                      <w:szCs w:val="18"/>
                    </w:rPr>
                  </w:pPr>
                </w:p>
              </w:tc>
              <w:tc>
                <w:tcPr>
                  <w:tcW w:w="336" w:type="dxa"/>
                  <w:vMerge w:val="continue"/>
                  <w:tcBorders>
                    <w:tl2br w:val="nil"/>
                    <w:tr2bl w:val="nil"/>
                  </w:tcBorders>
                  <w:tcMar>
                    <w:top w:w="0" w:type="dxa"/>
                    <w:left w:w="28" w:type="dxa"/>
                    <w:bottom w:w="0" w:type="dxa"/>
                    <w:right w:w="28" w:type="dxa"/>
                  </w:tcMar>
                  <w:vAlign w:val="center"/>
                </w:tcPr>
                <w:p w14:paraId="500EC232">
                  <w:pPr>
                    <w:pStyle w:val="24"/>
                    <w:rPr>
                      <w:rFonts w:hint="default" w:ascii="Times New Roman" w:hAnsi="Times New Roman" w:cs="Times New Roman"/>
                      <w:sz w:val="18"/>
                      <w:szCs w:val="18"/>
                    </w:rPr>
                  </w:pPr>
                </w:p>
              </w:tc>
              <w:tc>
                <w:tcPr>
                  <w:tcW w:w="364" w:type="dxa"/>
                  <w:vMerge w:val="continue"/>
                  <w:tcBorders>
                    <w:tl2br w:val="nil"/>
                    <w:tr2bl w:val="nil"/>
                  </w:tcBorders>
                  <w:tcMar>
                    <w:top w:w="0" w:type="dxa"/>
                    <w:left w:w="28" w:type="dxa"/>
                    <w:bottom w:w="0" w:type="dxa"/>
                    <w:right w:w="28" w:type="dxa"/>
                  </w:tcMar>
                  <w:vAlign w:val="center"/>
                </w:tcPr>
                <w:p w14:paraId="7A64505E">
                  <w:pPr>
                    <w:pStyle w:val="24"/>
                    <w:rPr>
                      <w:rFonts w:hint="default" w:ascii="Times New Roman" w:hAnsi="Times New Roman" w:cs="Times New Roman"/>
                      <w:sz w:val="18"/>
                      <w:szCs w:val="18"/>
                    </w:rPr>
                  </w:pPr>
                </w:p>
              </w:tc>
              <w:tc>
                <w:tcPr>
                  <w:tcW w:w="1061" w:type="dxa"/>
                  <w:vMerge w:val="continue"/>
                  <w:tcBorders>
                    <w:tl2br w:val="nil"/>
                    <w:tr2bl w:val="nil"/>
                  </w:tcBorders>
                  <w:tcMar>
                    <w:top w:w="0" w:type="dxa"/>
                    <w:left w:w="28" w:type="dxa"/>
                    <w:bottom w:w="0" w:type="dxa"/>
                    <w:right w:w="28" w:type="dxa"/>
                  </w:tcMar>
                  <w:vAlign w:val="center"/>
                </w:tcPr>
                <w:p w14:paraId="086408F7">
                  <w:pPr>
                    <w:pStyle w:val="24"/>
                    <w:rPr>
                      <w:rFonts w:hint="default" w:ascii="Times New Roman" w:hAnsi="Times New Roman" w:cs="Times New Roman"/>
                      <w:sz w:val="18"/>
                      <w:szCs w:val="18"/>
                    </w:rPr>
                  </w:pPr>
                </w:p>
              </w:tc>
              <w:tc>
                <w:tcPr>
                  <w:tcW w:w="439" w:type="dxa"/>
                  <w:tcBorders>
                    <w:tl2br w:val="nil"/>
                    <w:tr2bl w:val="nil"/>
                  </w:tcBorders>
                  <w:tcMar>
                    <w:top w:w="0" w:type="dxa"/>
                    <w:left w:w="28" w:type="dxa"/>
                    <w:bottom w:w="0" w:type="dxa"/>
                    <w:right w:w="28" w:type="dxa"/>
                  </w:tcMar>
                  <w:vAlign w:val="center"/>
                </w:tcPr>
                <w:p w14:paraId="35B16772">
                  <w:pPr>
                    <w:pStyle w:val="24"/>
                    <w:rPr>
                      <w:rFonts w:hint="default" w:ascii="Times New Roman" w:hAnsi="Times New Roman" w:cs="Times New Roman"/>
                      <w:sz w:val="18"/>
                      <w:szCs w:val="18"/>
                    </w:rPr>
                  </w:pPr>
                  <w:r>
                    <w:rPr>
                      <w:rFonts w:hint="default" w:ascii="Times New Roman" w:hAnsi="Times New Roman" w:cs="Times New Roman"/>
                      <w:sz w:val="18"/>
                      <w:szCs w:val="18"/>
                    </w:rPr>
                    <w:t>400</w:t>
                  </w:r>
                </w:p>
              </w:tc>
              <w:tc>
                <w:tcPr>
                  <w:tcW w:w="343" w:type="dxa"/>
                  <w:vMerge w:val="continue"/>
                  <w:tcBorders>
                    <w:tl2br w:val="nil"/>
                    <w:tr2bl w:val="nil"/>
                  </w:tcBorders>
                  <w:tcMar>
                    <w:top w:w="0" w:type="dxa"/>
                    <w:left w:w="28" w:type="dxa"/>
                    <w:bottom w:w="0" w:type="dxa"/>
                    <w:right w:w="28" w:type="dxa"/>
                  </w:tcMar>
                  <w:vAlign w:val="center"/>
                </w:tcPr>
                <w:p w14:paraId="34D8B52F">
                  <w:pPr>
                    <w:pStyle w:val="24"/>
                    <w:rPr>
                      <w:rFonts w:hint="default" w:ascii="Times New Roman" w:hAnsi="Times New Roman" w:cs="Times New Roman"/>
                      <w:sz w:val="18"/>
                      <w:szCs w:val="18"/>
                    </w:rPr>
                  </w:pPr>
                </w:p>
              </w:tc>
              <w:tc>
                <w:tcPr>
                  <w:tcW w:w="829" w:type="dxa"/>
                  <w:vMerge w:val="continue"/>
                  <w:tcBorders>
                    <w:tl2br w:val="nil"/>
                    <w:tr2bl w:val="nil"/>
                  </w:tcBorders>
                  <w:tcMar>
                    <w:top w:w="0" w:type="dxa"/>
                    <w:left w:w="28" w:type="dxa"/>
                    <w:bottom w:w="0" w:type="dxa"/>
                    <w:right w:w="28" w:type="dxa"/>
                  </w:tcMar>
                  <w:vAlign w:val="center"/>
                </w:tcPr>
                <w:p w14:paraId="0ABA49D7">
                  <w:pPr>
                    <w:pStyle w:val="24"/>
                    <w:rPr>
                      <w:rFonts w:hint="default" w:ascii="Times New Roman" w:hAnsi="Times New Roman" w:cs="Times New Roman"/>
                      <w:sz w:val="18"/>
                      <w:szCs w:val="18"/>
                    </w:rPr>
                  </w:pPr>
                </w:p>
              </w:tc>
              <w:tc>
                <w:tcPr>
                  <w:tcW w:w="333" w:type="dxa"/>
                  <w:vMerge w:val="continue"/>
                  <w:tcBorders>
                    <w:tl2br w:val="nil"/>
                    <w:tr2bl w:val="nil"/>
                  </w:tcBorders>
                  <w:tcMar>
                    <w:top w:w="0" w:type="dxa"/>
                    <w:left w:w="28" w:type="dxa"/>
                    <w:bottom w:w="0" w:type="dxa"/>
                    <w:right w:w="28" w:type="dxa"/>
                  </w:tcMar>
                  <w:vAlign w:val="center"/>
                </w:tcPr>
                <w:p w14:paraId="3B4762CD">
                  <w:pPr>
                    <w:pStyle w:val="24"/>
                    <w:rPr>
                      <w:rFonts w:hint="default" w:ascii="Times New Roman" w:hAnsi="Times New Roman" w:cs="Times New Roman"/>
                      <w:sz w:val="18"/>
                      <w:szCs w:val="18"/>
                    </w:rPr>
                  </w:pPr>
                </w:p>
              </w:tc>
              <w:tc>
                <w:tcPr>
                  <w:tcW w:w="501" w:type="dxa"/>
                  <w:vMerge w:val="continue"/>
                  <w:tcBorders>
                    <w:tl2br w:val="nil"/>
                    <w:tr2bl w:val="nil"/>
                  </w:tcBorders>
                  <w:tcMar>
                    <w:top w:w="0" w:type="dxa"/>
                    <w:left w:w="28" w:type="dxa"/>
                    <w:bottom w:w="0" w:type="dxa"/>
                    <w:right w:w="28" w:type="dxa"/>
                  </w:tcMar>
                  <w:vAlign w:val="center"/>
                </w:tcPr>
                <w:p w14:paraId="5A4829D4">
                  <w:pPr>
                    <w:pStyle w:val="24"/>
                    <w:rPr>
                      <w:rFonts w:hint="default" w:ascii="Times New Roman" w:hAnsi="Times New Roman" w:cs="Times New Roman"/>
                      <w:sz w:val="18"/>
                      <w:szCs w:val="18"/>
                    </w:rPr>
                  </w:pPr>
                </w:p>
              </w:tc>
            </w:tr>
            <w:tr w14:paraId="21A39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10" w:type="dxa"/>
                  <w:gridSpan w:val="2"/>
                  <w:vMerge w:val="continue"/>
                  <w:tcBorders>
                    <w:tl2br w:val="nil"/>
                    <w:tr2bl w:val="nil"/>
                  </w:tcBorders>
                  <w:tcMar>
                    <w:top w:w="0" w:type="dxa"/>
                    <w:left w:w="28" w:type="dxa"/>
                    <w:bottom w:w="0" w:type="dxa"/>
                    <w:right w:w="28" w:type="dxa"/>
                  </w:tcMar>
                  <w:vAlign w:val="center"/>
                </w:tcPr>
                <w:p w14:paraId="704C8433">
                  <w:pPr>
                    <w:pStyle w:val="24"/>
                    <w:rPr>
                      <w:rFonts w:hint="default" w:ascii="Times New Roman" w:hAnsi="Times New Roman" w:cs="Times New Roman"/>
                      <w:sz w:val="18"/>
                      <w:szCs w:val="18"/>
                    </w:rPr>
                  </w:pPr>
                </w:p>
              </w:tc>
              <w:tc>
                <w:tcPr>
                  <w:tcW w:w="568" w:type="dxa"/>
                  <w:tcBorders>
                    <w:tl2br w:val="nil"/>
                    <w:tr2bl w:val="nil"/>
                  </w:tcBorders>
                  <w:tcMar>
                    <w:top w:w="0" w:type="dxa"/>
                    <w:left w:w="28" w:type="dxa"/>
                    <w:bottom w:w="0" w:type="dxa"/>
                    <w:right w:w="28" w:type="dxa"/>
                  </w:tcMar>
                  <w:vAlign w:val="center"/>
                </w:tcPr>
                <w:p w14:paraId="43C5F422">
                  <w:pPr>
                    <w:pStyle w:val="24"/>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330" w:type="dxa"/>
                  <w:vMerge w:val="continue"/>
                  <w:tcBorders>
                    <w:tl2br w:val="nil"/>
                    <w:tr2bl w:val="nil"/>
                  </w:tcBorders>
                  <w:tcMar>
                    <w:top w:w="0" w:type="dxa"/>
                    <w:left w:w="28" w:type="dxa"/>
                    <w:bottom w:w="0" w:type="dxa"/>
                    <w:right w:w="28" w:type="dxa"/>
                  </w:tcMar>
                  <w:vAlign w:val="center"/>
                </w:tcPr>
                <w:p w14:paraId="4E1DA9CB">
                  <w:pPr>
                    <w:pStyle w:val="24"/>
                    <w:rPr>
                      <w:rFonts w:hint="default" w:ascii="Times New Roman" w:hAnsi="Times New Roman" w:cs="Times New Roman"/>
                      <w:sz w:val="18"/>
                      <w:szCs w:val="18"/>
                    </w:rPr>
                  </w:pPr>
                </w:p>
              </w:tc>
              <w:tc>
                <w:tcPr>
                  <w:tcW w:w="420" w:type="dxa"/>
                  <w:vMerge w:val="continue"/>
                  <w:tcBorders>
                    <w:tl2br w:val="nil"/>
                    <w:tr2bl w:val="nil"/>
                  </w:tcBorders>
                  <w:tcMar>
                    <w:top w:w="0" w:type="dxa"/>
                    <w:left w:w="28" w:type="dxa"/>
                    <w:bottom w:w="0" w:type="dxa"/>
                    <w:right w:w="28" w:type="dxa"/>
                  </w:tcMar>
                  <w:vAlign w:val="center"/>
                </w:tcPr>
                <w:p w14:paraId="03C464D8">
                  <w:pPr>
                    <w:pStyle w:val="24"/>
                    <w:rPr>
                      <w:rFonts w:hint="default" w:ascii="Times New Roman" w:hAnsi="Times New Roman" w:cs="Times New Roman"/>
                      <w:sz w:val="18"/>
                      <w:szCs w:val="18"/>
                    </w:rPr>
                  </w:pPr>
                </w:p>
              </w:tc>
              <w:tc>
                <w:tcPr>
                  <w:tcW w:w="472" w:type="dxa"/>
                  <w:tcBorders>
                    <w:tl2br w:val="nil"/>
                    <w:tr2bl w:val="nil"/>
                  </w:tcBorders>
                  <w:tcMar>
                    <w:top w:w="0" w:type="dxa"/>
                    <w:left w:w="28" w:type="dxa"/>
                    <w:bottom w:w="0" w:type="dxa"/>
                    <w:right w:w="28" w:type="dxa"/>
                  </w:tcMar>
                  <w:vAlign w:val="center"/>
                </w:tcPr>
                <w:p w14:paraId="170A1C14">
                  <w:pPr>
                    <w:pStyle w:val="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40</w:t>
                  </w:r>
                </w:p>
              </w:tc>
              <w:tc>
                <w:tcPr>
                  <w:tcW w:w="675" w:type="dxa"/>
                  <w:tcBorders>
                    <w:tl2br w:val="nil"/>
                    <w:tr2bl w:val="nil"/>
                  </w:tcBorders>
                  <w:tcMar>
                    <w:top w:w="0" w:type="dxa"/>
                    <w:left w:w="28" w:type="dxa"/>
                    <w:bottom w:w="0" w:type="dxa"/>
                    <w:right w:w="28" w:type="dxa"/>
                  </w:tcMar>
                  <w:vAlign w:val="center"/>
                </w:tcPr>
                <w:p w14:paraId="0A6794E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0.0576</w:t>
                  </w:r>
                </w:p>
              </w:tc>
              <w:tc>
                <w:tcPr>
                  <w:tcW w:w="278" w:type="dxa"/>
                  <w:vMerge w:val="continue"/>
                  <w:tcBorders>
                    <w:tl2br w:val="nil"/>
                    <w:tr2bl w:val="nil"/>
                  </w:tcBorders>
                  <w:tcMar>
                    <w:top w:w="0" w:type="dxa"/>
                    <w:left w:w="28" w:type="dxa"/>
                    <w:bottom w:w="0" w:type="dxa"/>
                    <w:right w:w="28" w:type="dxa"/>
                  </w:tcMar>
                  <w:vAlign w:val="center"/>
                </w:tcPr>
                <w:p w14:paraId="0D6EC0DD">
                  <w:pPr>
                    <w:pStyle w:val="24"/>
                    <w:rPr>
                      <w:rFonts w:hint="default" w:ascii="Times New Roman" w:hAnsi="Times New Roman" w:cs="Times New Roman"/>
                      <w:sz w:val="18"/>
                      <w:szCs w:val="18"/>
                    </w:rPr>
                  </w:pPr>
                </w:p>
              </w:tc>
              <w:tc>
                <w:tcPr>
                  <w:tcW w:w="332" w:type="dxa"/>
                  <w:vMerge w:val="continue"/>
                  <w:tcBorders>
                    <w:tl2br w:val="nil"/>
                    <w:tr2bl w:val="nil"/>
                  </w:tcBorders>
                  <w:tcMar>
                    <w:top w:w="0" w:type="dxa"/>
                    <w:left w:w="28" w:type="dxa"/>
                    <w:bottom w:w="0" w:type="dxa"/>
                    <w:right w:w="28" w:type="dxa"/>
                  </w:tcMar>
                  <w:vAlign w:val="center"/>
                </w:tcPr>
                <w:p w14:paraId="661877E4">
                  <w:pPr>
                    <w:pStyle w:val="24"/>
                    <w:rPr>
                      <w:rFonts w:hint="default" w:ascii="Times New Roman" w:hAnsi="Times New Roman" w:cs="Times New Roman"/>
                      <w:sz w:val="18"/>
                      <w:szCs w:val="18"/>
                    </w:rPr>
                  </w:pPr>
                </w:p>
              </w:tc>
              <w:tc>
                <w:tcPr>
                  <w:tcW w:w="311" w:type="dxa"/>
                  <w:tcBorders>
                    <w:tl2br w:val="nil"/>
                    <w:tr2bl w:val="nil"/>
                  </w:tcBorders>
                  <w:tcMar>
                    <w:top w:w="0" w:type="dxa"/>
                    <w:left w:w="28" w:type="dxa"/>
                    <w:bottom w:w="0" w:type="dxa"/>
                    <w:right w:w="28" w:type="dxa"/>
                  </w:tcMar>
                  <w:vAlign w:val="center"/>
                </w:tcPr>
                <w:p w14:paraId="451BB9C6">
                  <w:pPr>
                    <w:pStyle w:val="24"/>
                    <w:rPr>
                      <w:rFonts w:hint="default" w:ascii="Times New Roman" w:hAnsi="Times New Roman" w:cs="Times New Roman"/>
                      <w:sz w:val="18"/>
                      <w:szCs w:val="18"/>
                    </w:rPr>
                  </w:pPr>
                  <w:r>
                    <w:rPr>
                      <w:rFonts w:hint="default" w:ascii="Times New Roman" w:hAnsi="Times New Roman" w:cs="Times New Roman"/>
                      <w:sz w:val="18"/>
                      <w:szCs w:val="18"/>
                    </w:rPr>
                    <w:t>0</w:t>
                  </w:r>
                </w:p>
              </w:tc>
              <w:tc>
                <w:tcPr>
                  <w:tcW w:w="354" w:type="dxa"/>
                  <w:vMerge w:val="continue"/>
                  <w:tcBorders>
                    <w:tl2br w:val="nil"/>
                    <w:tr2bl w:val="nil"/>
                  </w:tcBorders>
                  <w:tcMar>
                    <w:top w:w="0" w:type="dxa"/>
                    <w:left w:w="28" w:type="dxa"/>
                    <w:bottom w:w="0" w:type="dxa"/>
                    <w:right w:w="28" w:type="dxa"/>
                  </w:tcMar>
                  <w:vAlign w:val="center"/>
                </w:tcPr>
                <w:p w14:paraId="043B8C83">
                  <w:pPr>
                    <w:pStyle w:val="24"/>
                    <w:rPr>
                      <w:rFonts w:hint="default" w:ascii="Times New Roman" w:hAnsi="Times New Roman" w:cs="Times New Roman"/>
                      <w:sz w:val="18"/>
                      <w:szCs w:val="18"/>
                    </w:rPr>
                  </w:pPr>
                </w:p>
              </w:tc>
              <w:tc>
                <w:tcPr>
                  <w:tcW w:w="510" w:type="dxa"/>
                  <w:vMerge w:val="continue"/>
                  <w:tcBorders>
                    <w:tl2br w:val="nil"/>
                    <w:tr2bl w:val="nil"/>
                  </w:tcBorders>
                  <w:tcMar>
                    <w:top w:w="0" w:type="dxa"/>
                    <w:left w:w="28" w:type="dxa"/>
                    <w:bottom w:w="0" w:type="dxa"/>
                    <w:right w:w="28" w:type="dxa"/>
                  </w:tcMar>
                  <w:vAlign w:val="center"/>
                </w:tcPr>
                <w:p w14:paraId="21EDC189">
                  <w:pPr>
                    <w:pStyle w:val="24"/>
                    <w:rPr>
                      <w:rFonts w:hint="default" w:ascii="Times New Roman" w:hAnsi="Times New Roman" w:cs="Times New Roman"/>
                      <w:sz w:val="18"/>
                      <w:szCs w:val="18"/>
                    </w:rPr>
                  </w:pPr>
                </w:p>
              </w:tc>
              <w:tc>
                <w:tcPr>
                  <w:tcW w:w="615" w:type="dxa"/>
                  <w:tcBorders>
                    <w:tl2br w:val="nil"/>
                    <w:tr2bl w:val="nil"/>
                  </w:tcBorders>
                  <w:tcMar>
                    <w:top w:w="0" w:type="dxa"/>
                    <w:left w:w="28" w:type="dxa"/>
                    <w:bottom w:w="0" w:type="dxa"/>
                    <w:right w:w="28" w:type="dxa"/>
                  </w:tcMar>
                  <w:vAlign w:val="center"/>
                </w:tcPr>
                <w:p w14:paraId="3C8ABAA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60" w:type="dxa"/>
                  <w:tcBorders>
                    <w:tl2br w:val="nil"/>
                    <w:tr2bl w:val="nil"/>
                  </w:tcBorders>
                  <w:tcMar>
                    <w:top w:w="0" w:type="dxa"/>
                    <w:left w:w="28" w:type="dxa"/>
                    <w:bottom w:w="0" w:type="dxa"/>
                    <w:right w:w="28" w:type="dxa"/>
                  </w:tcMar>
                  <w:vAlign w:val="center"/>
                </w:tcPr>
                <w:p w14:paraId="460BE169">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0.0576</w:t>
                  </w:r>
                </w:p>
              </w:tc>
              <w:tc>
                <w:tcPr>
                  <w:tcW w:w="480" w:type="dxa"/>
                  <w:tcBorders>
                    <w:tl2br w:val="nil"/>
                    <w:tr2bl w:val="nil"/>
                  </w:tcBorders>
                  <w:tcMar>
                    <w:top w:w="0" w:type="dxa"/>
                    <w:left w:w="28" w:type="dxa"/>
                    <w:bottom w:w="0" w:type="dxa"/>
                    <w:right w:w="28" w:type="dxa"/>
                  </w:tcMar>
                  <w:vAlign w:val="center"/>
                </w:tcPr>
                <w:p w14:paraId="4D8CD732">
                  <w:pPr>
                    <w:pStyle w:val="24"/>
                    <w:rPr>
                      <w:rFonts w:hint="default" w:ascii="Times New Roman" w:hAnsi="Times New Roman" w:cs="Times New Roman"/>
                      <w:sz w:val="18"/>
                      <w:szCs w:val="18"/>
                    </w:rPr>
                  </w:pPr>
                  <w:r>
                    <w:rPr>
                      <w:rFonts w:hint="default" w:ascii="Times New Roman" w:hAnsi="Times New Roman" w:cs="Times New Roman"/>
                      <w:sz w:val="18"/>
                      <w:szCs w:val="18"/>
                    </w:rPr>
                    <w:t>5</w:t>
                  </w:r>
                </w:p>
              </w:tc>
              <w:tc>
                <w:tcPr>
                  <w:tcW w:w="646" w:type="dxa"/>
                  <w:tcBorders>
                    <w:tl2br w:val="nil"/>
                    <w:tr2bl w:val="nil"/>
                  </w:tcBorders>
                  <w:tcMar>
                    <w:top w:w="0" w:type="dxa"/>
                    <w:left w:w="28" w:type="dxa"/>
                    <w:bottom w:w="0" w:type="dxa"/>
                    <w:right w:w="28" w:type="dxa"/>
                  </w:tcMar>
                  <w:vAlign w:val="center"/>
                </w:tcPr>
                <w:p w14:paraId="1C14FBE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0.0072</w:t>
                  </w:r>
                </w:p>
              </w:tc>
              <w:tc>
                <w:tcPr>
                  <w:tcW w:w="283" w:type="dxa"/>
                  <w:vMerge w:val="continue"/>
                  <w:tcBorders>
                    <w:tl2br w:val="nil"/>
                    <w:tr2bl w:val="nil"/>
                  </w:tcBorders>
                  <w:tcMar>
                    <w:top w:w="0" w:type="dxa"/>
                    <w:left w:w="28" w:type="dxa"/>
                    <w:bottom w:w="0" w:type="dxa"/>
                    <w:right w:w="28" w:type="dxa"/>
                  </w:tcMar>
                  <w:vAlign w:val="center"/>
                </w:tcPr>
                <w:p w14:paraId="279B83CC">
                  <w:pPr>
                    <w:pStyle w:val="24"/>
                    <w:rPr>
                      <w:rFonts w:hint="default" w:ascii="Times New Roman" w:hAnsi="Times New Roman" w:cs="Times New Roman"/>
                      <w:sz w:val="18"/>
                      <w:szCs w:val="18"/>
                    </w:rPr>
                  </w:pPr>
                </w:p>
              </w:tc>
              <w:tc>
                <w:tcPr>
                  <w:tcW w:w="283" w:type="dxa"/>
                  <w:vMerge w:val="continue"/>
                  <w:tcBorders>
                    <w:tl2br w:val="nil"/>
                    <w:tr2bl w:val="nil"/>
                  </w:tcBorders>
                  <w:tcMar>
                    <w:top w:w="0" w:type="dxa"/>
                    <w:left w:w="28" w:type="dxa"/>
                    <w:bottom w:w="0" w:type="dxa"/>
                    <w:right w:w="28" w:type="dxa"/>
                  </w:tcMar>
                  <w:vAlign w:val="center"/>
                </w:tcPr>
                <w:p w14:paraId="45015403">
                  <w:pPr>
                    <w:pStyle w:val="24"/>
                    <w:rPr>
                      <w:rFonts w:hint="default" w:ascii="Times New Roman" w:hAnsi="Times New Roman" w:cs="Times New Roman"/>
                      <w:sz w:val="18"/>
                      <w:szCs w:val="18"/>
                    </w:rPr>
                  </w:pPr>
                </w:p>
              </w:tc>
              <w:tc>
                <w:tcPr>
                  <w:tcW w:w="334" w:type="dxa"/>
                  <w:vMerge w:val="continue"/>
                  <w:tcBorders>
                    <w:tl2br w:val="nil"/>
                    <w:tr2bl w:val="nil"/>
                  </w:tcBorders>
                  <w:tcMar>
                    <w:top w:w="0" w:type="dxa"/>
                    <w:left w:w="28" w:type="dxa"/>
                    <w:bottom w:w="0" w:type="dxa"/>
                    <w:right w:w="28" w:type="dxa"/>
                  </w:tcMar>
                  <w:vAlign w:val="center"/>
                </w:tcPr>
                <w:p w14:paraId="51DA2454">
                  <w:pPr>
                    <w:pStyle w:val="24"/>
                    <w:rPr>
                      <w:rFonts w:hint="default" w:ascii="Times New Roman" w:hAnsi="Times New Roman" w:cs="Times New Roman"/>
                      <w:sz w:val="18"/>
                      <w:szCs w:val="18"/>
                    </w:rPr>
                  </w:pPr>
                </w:p>
              </w:tc>
              <w:tc>
                <w:tcPr>
                  <w:tcW w:w="719" w:type="dxa"/>
                  <w:vMerge w:val="continue"/>
                  <w:tcBorders>
                    <w:tl2br w:val="nil"/>
                    <w:tr2bl w:val="nil"/>
                  </w:tcBorders>
                  <w:tcMar>
                    <w:top w:w="0" w:type="dxa"/>
                    <w:left w:w="28" w:type="dxa"/>
                    <w:bottom w:w="0" w:type="dxa"/>
                    <w:right w:w="28" w:type="dxa"/>
                  </w:tcMar>
                  <w:vAlign w:val="center"/>
                </w:tcPr>
                <w:p w14:paraId="6622654A">
                  <w:pPr>
                    <w:pStyle w:val="24"/>
                    <w:rPr>
                      <w:rFonts w:hint="default" w:ascii="Times New Roman" w:hAnsi="Times New Roman" w:cs="Times New Roman"/>
                      <w:sz w:val="18"/>
                      <w:szCs w:val="18"/>
                    </w:rPr>
                  </w:pPr>
                </w:p>
              </w:tc>
              <w:tc>
                <w:tcPr>
                  <w:tcW w:w="240" w:type="dxa"/>
                  <w:vMerge w:val="continue"/>
                  <w:tcBorders>
                    <w:tl2br w:val="nil"/>
                    <w:tr2bl w:val="nil"/>
                  </w:tcBorders>
                  <w:tcMar>
                    <w:top w:w="0" w:type="dxa"/>
                    <w:left w:w="28" w:type="dxa"/>
                    <w:bottom w:w="0" w:type="dxa"/>
                    <w:right w:w="28" w:type="dxa"/>
                  </w:tcMar>
                  <w:vAlign w:val="center"/>
                </w:tcPr>
                <w:p w14:paraId="1B8AB597">
                  <w:pPr>
                    <w:pStyle w:val="24"/>
                    <w:rPr>
                      <w:rFonts w:hint="default" w:ascii="Times New Roman" w:hAnsi="Times New Roman" w:cs="Times New Roman"/>
                      <w:sz w:val="18"/>
                      <w:szCs w:val="18"/>
                    </w:rPr>
                  </w:pPr>
                </w:p>
              </w:tc>
              <w:tc>
                <w:tcPr>
                  <w:tcW w:w="336" w:type="dxa"/>
                  <w:vMerge w:val="continue"/>
                  <w:tcBorders>
                    <w:tl2br w:val="nil"/>
                    <w:tr2bl w:val="nil"/>
                  </w:tcBorders>
                  <w:tcMar>
                    <w:top w:w="0" w:type="dxa"/>
                    <w:left w:w="28" w:type="dxa"/>
                    <w:bottom w:w="0" w:type="dxa"/>
                    <w:right w:w="28" w:type="dxa"/>
                  </w:tcMar>
                  <w:vAlign w:val="center"/>
                </w:tcPr>
                <w:p w14:paraId="36D7E633">
                  <w:pPr>
                    <w:pStyle w:val="24"/>
                    <w:rPr>
                      <w:rFonts w:hint="default" w:ascii="Times New Roman" w:hAnsi="Times New Roman" w:cs="Times New Roman"/>
                      <w:sz w:val="18"/>
                      <w:szCs w:val="18"/>
                    </w:rPr>
                  </w:pPr>
                </w:p>
              </w:tc>
              <w:tc>
                <w:tcPr>
                  <w:tcW w:w="364" w:type="dxa"/>
                  <w:vMerge w:val="continue"/>
                  <w:tcBorders>
                    <w:tl2br w:val="nil"/>
                    <w:tr2bl w:val="nil"/>
                  </w:tcBorders>
                  <w:tcMar>
                    <w:top w:w="0" w:type="dxa"/>
                    <w:left w:w="28" w:type="dxa"/>
                    <w:bottom w:w="0" w:type="dxa"/>
                    <w:right w:w="28" w:type="dxa"/>
                  </w:tcMar>
                  <w:vAlign w:val="center"/>
                </w:tcPr>
                <w:p w14:paraId="73E8D529">
                  <w:pPr>
                    <w:pStyle w:val="24"/>
                    <w:rPr>
                      <w:rFonts w:hint="default" w:ascii="Times New Roman" w:hAnsi="Times New Roman" w:cs="Times New Roman"/>
                      <w:sz w:val="18"/>
                      <w:szCs w:val="18"/>
                    </w:rPr>
                  </w:pPr>
                </w:p>
              </w:tc>
              <w:tc>
                <w:tcPr>
                  <w:tcW w:w="1061" w:type="dxa"/>
                  <w:vMerge w:val="continue"/>
                  <w:tcBorders>
                    <w:tl2br w:val="nil"/>
                    <w:tr2bl w:val="nil"/>
                  </w:tcBorders>
                  <w:tcMar>
                    <w:top w:w="0" w:type="dxa"/>
                    <w:left w:w="28" w:type="dxa"/>
                    <w:bottom w:w="0" w:type="dxa"/>
                    <w:right w:w="28" w:type="dxa"/>
                  </w:tcMar>
                  <w:vAlign w:val="center"/>
                </w:tcPr>
                <w:p w14:paraId="03B66AFF">
                  <w:pPr>
                    <w:pStyle w:val="24"/>
                    <w:rPr>
                      <w:rFonts w:hint="default" w:ascii="Times New Roman" w:hAnsi="Times New Roman" w:cs="Times New Roman"/>
                      <w:sz w:val="18"/>
                      <w:szCs w:val="18"/>
                    </w:rPr>
                  </w:pPr>
                </w:p>
              </w:tc>
              <w:tc>
                <w:tcPr>
                  <w:tcW w:w="439" w:type="dxa"/>
                  <w:tcBorders>
                    <w:tl2br w:val="nil"/>
                    <w:tr2bl w:val="nil"/>
                  </w:tcBorders>
                  <w:tcMar>
                    <w:top w:w="0" w:type="dxa"/>
                    <w:left w:w="28" w:type="dxa"/>
                    <w:bottom w:w="0" w:type="dxa"/>
                    <w:right w:w="28" w:type="dxa"/>
                  </w:tcMar>
                  <w:vAlign w:val="center"/>
                </w:tcPr>
                <w:p w14:paraId="66FE6F76">
                  <w:pPr>
                    <w:pStyle w:val="24"/>
                    <w:rPr>
                      <w:rFonts w:hint="default" w:ascii="Times New Roman" w:hAnsi="Times New Roman" w:cs="Times New Roman"/>
                      <w:sz w:val="18"/>
                      <w:szCs w:val="18"/>
                    </w:rPr>
                  </w:pPr>
                  <w:r>
                    <w:rPr>
                      <w:rFonts w:hint="default" w:ascii="Times New Roman" w:hAnsi="Times New Roman" w:cs="Times New Roman"/>
                      <w:sz w:val="18"/>
                      <w:szCs w:val="18"/>
                    </w:rPr>
                    <w:t>45</w:t>
                  </w:r>
                </w:p>
              </w:tc>
              <w:tc>
                <w:tcPr>
                  <w:tcW w:w="343" w:type="dxa"/>
                  <w:vMerge w:val="continue"/>
                  <w:tcBorders>
                    <w:tl2br w:val="nil"/>
                    <w:tr2bl w:val="nil"/>
                  </w:tcBorders>
                  <w:tcMar>
                    <w:top w:w="0" w:type="dxa"/>
                    <w:left w:w="28" w:type="dxa"/>
                    <w:bottom w:w="0" w:type="dxa"/>
                    <w:right w:w="28" w:type="dxa"/>
                  </w:tcMar>
                  <w:vAlign w:val="center"/>
                </w:tcPr>
                <w:p w14:paraId="7DCDCC3B">
                  <w:pPr>
                    <w:pStyle w:val="24"/>
                    <w:rPr>
                      <w:rFonts w:hint="default" w:ascii="Times New Roman" w:hAnsi="Times New Roman" w:cs="Times New Roman"/>
                      <w:sz w:val="18"/>
                      <w:szCs w:val="18"/>
                    </w:rPr>
                  </w:pPr>
                </w:p>
              </w:tc>
              <w:tc>
                <w:tcPr>
                  <w:tcW w:w="829" w:type="dxa"/>
                  <w:vMerge w:val="continue"/>
                  <w:tcBorders>
                    <w:tl2br w:val="nil"/>
                    <w:tr2bl w:val="nil"/>
                  </w:tcBorders>
                  <w:tcMar>
                    <w:top w:w="0" w:type="dxa"/>
                    <w:left w:w="28" w:type="dxa"/>
                    <w:bottom w:w="0" w:type="dxa"/>
                    <w:right w:w="28" w:type="dxa"/>
                  </w:tcMar>
                  <w:vAlign w:val="center"/>
                </w:tcPr>
                <w:p w14:paraId="6E59AEE0">
                  <w:pPr>
                    <w:pStyle w:val="24"/>
                    <w:rPr>
                      <w:rFonts w:hint="default" w:ascii="Times New Roman" w:hAnsi="Times New Roman" w:cs="Times New Roman"/>
                      <w:sz w:val="18"/>
                      <w:szCs w:val="18"/>
                    </w:rPr>
                  </w:pPr>
                </w:p>
              </w:tc>
              <w:tc>
                <w:tcPr>
                  <w:tcW w:w="333" w:type="dxa"/>
                  <w:vMerge w:val="continue"/>
                  <w:tcBorders>
                    <w:tl2br w:val="nil"/>
                    <w:tr2bl w:val="nil"/>
                  </w:tcBorders>
                  <w:tcMar>
                    <w:top w:w="0" w:type="dxa"/>
                    <w:left w:w="28" w:type="dxa"/>
                    <w:bottom w:w="0" w:type="dxa"/>
                    <w:right w:w="28" w:type="dxa"/>
                  </w:tcMar>
                  <w:vAlign w:val="center"/>
                </w:tcPr>
                <w:p w14:paraId="240D9F1A">
                  <w:pPr>
                    <w:pStyle w:val="24"/>
                    <w:rPr>
                      <w:rFonts w:hint="default" w:ascii="Times New Roman" w:hAnsi="Times New Roman" w:cs="Times New Roman"/>
                      <w:sz w:val="18"/>
                      <w:szCs w:val="18"/>
                    </w:rPr>
                  </w:pPr>
                </w:p>
              </w:tc>
              <w:tc>
                <w:tcPr>
                  <w:tcW w:w="501" w:type="dxa"/>
                  <w:vMerge w:val="continue"/>
                  <w:tcBorders>
                    <w:tl2br w:val="nil"/>
                    <w:tr2bl w:val="nil"/>
                  </w:tcBorders>
                  <w:tcMar>
                    <w:top w:w="0" w:type="dxa"/>
                    <w:left w:w="28" w:type="dxa"/>
                    <w:bottom w:w="0" w:type="dxa"/>
                    <w:right w:w="28" w:type="dxa"/>
                  </w:tcMar>
                  <w:vAlign w:val="center"/>
                </w:tcPr>
                <w:p w14:paraId="71945D35">
                  <w:pPr>
                    <w:pStyle w:val="24"/>
                    <w:rPr>
                      <w:rFonts w:hint="default" w:ascii="Times New Roman" w:hAnsi="Times New Roman" w:cs="Times New Roman"/>
                      <w:sz w:val="18"/>
                      <w:szCs w:val="18"/>
                    </w:rPr>
                  </w:pPr>
                </w:p>
              </w:tc>
            </w:tr>
            <w:tr w14:paraId="6E929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10" w:type="dxa"/>
                  <w:gridSpan w:val="2"/>
                  <w:vMerge w:val="continue"/>
                  <w:tcBorders>
                    <w:tl2br w:val="nil"/>
                    <w:tr2bl w:val="nil"/>
                  </w:tcBorders>
                  <w:tcMar>
                    <w:top w:w="0" w:type="dxa"/>
                    <w:left w:w="28" w:type="dxa"/>
                    <w:bottom w:w="0" w:type="dxa"/>
                    <w:right w:w="28" w:type="dxa"/>
                  </w:tcMar>
                  <w:vAlign w:val="center"/>
                </w:tcPr>
                <w:p w14:paraId="3ACA20C6">
                  <w:pPr>
                    <w:pStyle w:val="24"/>
                    <w:rPr>
                      <w:rFonts w:hint="default" w:ascii="Times New Roman" w:hAnsi="Times New Roman" w:cs="Times New Roman"/>
                      <w:sz w:val="18"/>
                      <w:szCs w:val="18"/>
                    </w:rPr>
                  </w:pPr>
                </w:p>
              </w:tc>
              <w:tc>
                <w:tcPr>
                  <w:tcW w:w="568" w:type="dxa"/>
                  <w:tcBorders>
                    <w:tl2br w:val="nil"/>
                    <w:tr2bl w:val="nil"/>
                  </w:tcBorders>
                  <w:tcMar>
                    <w:top w:w="0" w:type="dxa"/>
                    <w:left w:w="28" w:type="dxa"/>
                    <w:bottom w:w="0" w:type="dxa"/>
                    <w:right w:w="28" w:type="dxa"/>
                  </w:tcMar>
                  <w:vAlign w:val="center"/>
                </w:tcPr>
                <w:p w14:paraId="02D0335E">
                  <w:pPr>
                    <w:pStyle w:val="24"/>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T</w:t>
                  </w:r>
                  <w:r>
                    <w:rPr>
                      <w:rFonts w:hint="eastAsia" w:ascii="Times New Roman" w:hAnsi="Times New Roman" w:cs="Times New Roman"/>
                      <w:sz w:val="18"/>
                      <w:szCs w:val="18"/>
                      <w:lang w:val="en-US" w:eastAsia="zh-CN"/>
                    </w:rPr>
                    <w:t>N</w:t>
                  </w:r>
                </w:p>
              </w:tc>
              <w:tc>
                <w:tcPr>
                  <w:tcW w:w="330" w:type="dxa"/>
                  <w:vMerge w:val="continue"/>
                  <w:tcBorders>
                    <w:tl2br w:val="nil"/>
                    <w:tr2bl w:val="nil"/>
                  </w:tcBorders>
                  <w:tcMar>
                    <w:top w:w="0" w:type="dxa"/>
                    <w:left w:w="28" w:type="dxa"/>
                    <w:bottom w:w="0" w:type="dxa"/>
                    <w:right w:w="28" w:type="dxa"/>
                  </w:tcMar>
                  <w:vAlign w:val="center"/>
                </w:tcPr>
                <w:p w14:paraId="3A17479D">
                  <w:pPr>
                    <w:pStyle w:val="24"/>
                    <w:rPr>
                      <w:rFonts w:hint="default" w:ascii="Times New Roman" w:hAnsi="Times New Roman" w:cs="Times New Roman"/>
                      <w:sz w:val="18"/>
                      <w:szCs w:val="18"/>
                    </w:rPr>
                  </w:pPr>
                </w:p>
              </w:tc>
              <w:tc>
                <w:tcPr>
                  <w:tcW w:w="420" w:type="dxa"/>
                  <w:vMerge w:val="continue"/>
                  <w:tcBorders>
                    <w:tl2br w:val="nil"/>
                    <w:tr2bl w:val="nil"/>
                  </w:tcBorders>
                  <w:tcMar>
                    <w:top w:w="0" w:type="dxa"/>
                    <w:left w:w="28" w:type="dxa"/>
                    <w:bottom w:w="0" w:type="dxa"/>
                    <w:right w:w="28" w:type="dxa"/>
                  </w:tcMar>
                  <w:vAlign w:val="center"/>
                </w:tcPr>
                <w:p w14:paraId="5DBC1575">
                  <w:pPr>
                    <w:pStyle w:val="24"/>
                    <w:rPr>
                      <w:rFonts w:hint="default" w:ascii="Times New Roman" w:hAnsi="Times New Roman" w:cs="Times New Roman"/>
                      <w:sz w:val="18"/>
                      <w:szCs w:val="18"/>
                    </w:rPr>
                  </w:pPr>
                </w:p>
              </w:tc>
              <w:tc>
                <w:tcPr>
                  <w:tcW w:w="472" w:type="dxa"/>
                  <w:tcBorders>
                    <w:tl2br w:val="nil"/>
                    <w:tr2bl w:val="nil"/>
                  </w:tcBorders>
                  <w:tcMar>
                    <w:top w:w="0" w:type="dxa"/>
                    <w:left w:w="28" w:type="dxa"/>
                    <w:bottom w:w="0" w:type="dxa"/>
                    <w:right w:w="28" w:type="dxa"/>
                  </w:tcMar>
                  <w:vAlign w:val="center"/>
                </w:tcPr>
                <w:p w14:paraId="384AB416">
                  <w:pPr>
                    <w:pStyle w:val="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55</w:t>
                  </w:r>
                </w:p>
              </w:tc>
              <w:tc>
                <w:tcPr>
                  <w:tcW w:w="675" w:type="dxa"/>
                  <w:tcBorders>
                    <w:tl2br w:val="nil"/>
                    <w:tr2bl w:val="nil"/>
                  </w:tcBorders>
                  <w:tcMar>
                    <w:top w:w="0" w:type="dxa"/>
                    <w:left w:w="28" w:type="dxa"/>
                    <w:bottom w:w="0" w:type="dxa"/>
                    <w:right w:w="28" w:type="dxa"/>
                  </w:tcMar>
                  <w:vAlign w:val="center"/>
                </w:tcPr>
                <w:p w14:paraId="45EAD05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0.0792</w:t>
                  </w:r>
                </w:p>
              </w:tc>
              <w:tc>
                <w:tcPr>
                  <w:tcW w:w="278" w:type="dxa"/>
                  <w:vMerge w:val="continue"/>
                  <w:tcBorders>
                    <w:tl2br w:val="nil"/>
                    <w:tr2bl w:val="nil"/>
                  </w:tcBorders>
                  <w:tcMar>
                    <w:top w:w="0" w:type="dxa"/>
                    <w:left w:w="28" w:type="dxa"/>
                    <w:bottom w:w="0" w:type="dxa"/>
                    <w:right w:w="28" w:type="dxa"/>
                  </w:tcMar>
                  <w:vAlign w:val="center"/>
                </w:tcPr>
                <w:p w14:paraId="0812ADD8">
                  <w:pPr>
                    <w:pStyle w:val="24"/>
                    <w:rPr>
                      <w:rFonts w:hint="default" w:ascii="Times New Roman" w:hAnsi="Times New Roman" w:cs="Times New Roman"/>
                      <w:sz w:val="18"/>
                      <w:szCs w:val="18"/>
                    </w:rPr>
                  </w:pPr>
                </w:p>
              </w:tc>
              <w:tc>
                <w:tcPr>
                  <w:tcW w:w="332" w:type="dxa"/>
                  <w:vMerge w:val="continue"/>
                  <w:tcBorders>
                    <w:tl2br w:val="nil"/>
                    <w:tr2bl w:val="nil"/>
                  </w:tcBorders>
                  <w:tcMar>
                    <w:top w:w="0" w:type="dxa"/>
                    <w:left w:w="28" w:type="dxa"/>
                    <w:bottom w:w="0" w:type="dxa"/>
                    <w:right w:w="28" w:type="dxa"/>
                  </w:tcMar>
                  <w:vAlign w:val="center"/>
                </w:tcPr>
                <w:p w14:paraId="680DA3AC">
                  <w:pPr>
                    <w:pStyle w:val="24"/>
                    <w:rPr>
                      <w:rFonts w:hint="default" w:ascii="Times New Roman" w:hAnsi="Times New Roman" w:cs="Times New Roman"/>
                      <w:sz w:val="18"/>
                      <w:szCs w:val="18"/>
                    </w:rPr>
                  </w:pPr>
                </w:p>
              </w:tc>
              <w:tc>
                <w:tcPr>
                  <w:tcW w:w="311" w:type="dxa"/>
                  <w:tcBorders>
                    <w:tl2br w:val="nil"/>
                    <w:tr2bl w:val="nil"/>
                  </w:tcBorders>
                  <w:tcMar>
                    <w:top w:w="0" w:type="dxa"/>
                    <w:left w:w="28" w:type="dxa"/>
                    <w:bottom w:w="0" w:type="dxa"/>
                    <w:right w:w="28" w:type="dxa"/>
                  </w:tcMar>
                  <w:vAlign w:val="center"/>
                </w:tcPr>
                <w:p w14:paraId="6320CD8F">
                  <w:pPr>
                    <w:pStyle w:val="24"/>
                    <w:rPr>
                      <w:rFonts w:hint="default" w:ascii="Times New Roman" w:hAnsi="Times New Roman" w:cs="Times New Roman"/>
                      <w:sz w:val="18"/>
                      <w:szCs w:val="18"/>
                    </w:rPr>
                  </w:pPr>
                  <w:r>
                    <w:rPr>
                      <w:rFonts w:hint="default" w:ascii="Times New Roman" w:hAnsi="Times New Roman" w:cs="Times New Roman"/>
                      <w:sz w:val="18"/>
                      <w:szCs w:val="18"/>
                    </w:rPr>
                    <w:t>0</w:t>
                  </w:r>
                </w:p>
              </w:tc>
              <w:tc>
                <w:tcPr>
                  <w:tcW w:w="354" w:type="dxa"/>
                  <w:vMerge w:val="continue"/>
                  <w:tcBorders>
                    <w:tl2br w:val="nil"/>
                    <w:tr2bl w:val="nil"/>
                  </w:tcBorders>
                  <w:tcMar>
                    <w:top w:w="0" w:type="dxa"/>
                    <w:left w:w="28" w:type="dxa"/>
                    <w:bottom w:w="0" w:type="dxa"/>
                    <w:right w:w="28" w:type="dxa"/>
                  </w:tcMar>
                  <w:vAlign w:val="center"/>
                </w:tcPr>
                <w:p w14:paraId="1509B536">
                  <w:pPr>
                    <w:pStyle w:val="24"/>
                    <w:rPr>
                      <w:rFonts w:hint="default" w:ascii="Times New Roman" w:hAnsi="Times New Roman" w:cs="Times New Roman"/>
                      <w:sz w:val="18"/>
                      <w:szCs w:val="18"/>
                    </w:rPr>
                  </w:pPr>
                </w:p>
              </w:tc>
              <w:tc>
                <w:tcPr>
                  <w:tcW w:w="510" w:type="dxa"/>
                  <w:vMerge w:val="continue"/>
                  <w:tcBorders>
                    <w:tl2br w:val="nil"/>
                    <w:tr2bl w:val="nil"/>
                  </w:tcBorders>
                  <w:tcMar>
                    <w:top w:w="0" w:type="dxa"/>
                    <w:left w:w="28" w:type="dxa"/>
                    <w:bottom w:w="0" w:type="dxa"/>
                    <w:right w:w="28" w:type="dxa"/>
                  </w:tcMar>
                  <w:vAlign w:val="center"/>
                </w:tcPr>
                <w:p w14:paraId="56782E57">
                  <w:pPr>
                    <w:pStyle w:val="24"/>
                    <w:rPr>
                      <w:rFonts w:hint="default" w:ascii="Times New Roman" w:hAnsi="Times New Roman" w:cs="Times New Roman"/>
                      <w:sz w:val="18"/>
                      <w:szCs w:val="18"/>
                    </w:rPr>
                  </w:pPr>
                </w:p>
              </w:tc>
              <w:tc>
                <w:tcPr>
                  <w:tcW w:w="615" w:type="dxa"/>
                  <w:tcBorders>
                    <w:tl2br w:val="nil"/>
                    <w:tr2bl w:val="nil"/>
                  </w:tcBorders>
                  <w:tcMar>
                    <w:top w:w="0" w:type="dxa"/>
                    <w:left w:w="28" w:type="dxa"/>
                    <w:bottom w:w="0" w:type="dxa"/>
                    <w:right w:w="28" w:type="dxa"/>
                  </w:tcMar>
                  <w:vAlign w:val="center"/>
                </w:tcPr>
                <w:p w14:paraId="621216D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60" w:type="dxa"/>
                  <w:tcBorders>
                    <w:tl2br w:val="nil"/>
                    <w:tr2bl w:val="nil"/>
                  </w:tcBorders>
                  <w:tcMar>
                    <w:top w:w="0" w:type="dxa"/>
                    <w:left w:w="28" w:type="dxa"/>
                    <w:bottom w:w="0" w:type="dxa"/>
                    <w:right w:w="28" w:type="dxa"/>
                  </w:tcMar>
                  <w:vAlign w:val="center"/>
                </w:tcPr>
                <w:p w14:paraId="27FE559C">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0.0792</w:t>
                  </w:r>
                </w:p>
              </w:tc>
              <w:tc>
                <w:tcPr>
                  <w:tcW w:w="480" w:type="dxa"/>
                  <w:tcBorders>
                    <w:tl2br w:val="nil"/>
                    <w:tr2bl w:val="nil"/>
                  </w:tcBorders>
                  <w:tcMar>
                    <w:top w:w="0" w:type="dxa"/>
                    <w:left w:w="28" w:type="dxa"/>
                    <w:bottom w:w="0" w:type="dxa"/>
                    <w:right w:w="28" w:type="dxa"/>
                  </w:tcMar>
                  <w:vAlign w:val="center"/>
                </w:tcPr>
                <w:p w14:paraId="03E2AAAB">
                  <w:pPr>
                    <w:pStyle w:val="24"/>
                    <w:rPr>
                      <w:rFonts w:hint="default" w:ascii="Times New Roman" w:hAnsi="Times New Roman" w:cs="Times New Roman"/>
                      <w:sz w:val="18"/>
                      <w:szCs w:val="18"/>
                    </w:rPr>
                  </w:pPr>
                  <w:r>
                    <w:rPr>
                      <w:rFonts w:hint="default" w:ascii="Times New Roman" w:hAnsi="Times New Roman" w:cs="Times New Roman"/>
                      <w:sz w:val="18"/>
                      <w:szCs w:val="18"/>
                    </w:rPr>
                    <w:t>0.5</w:t>
                  </w:r>
                </w:p>
              </w:tc>
              <w:tc>
                <w:tcPr>
                  <w:tcW w:w="646" w:type="dxa"/>
                  <w:tcBorders>
                    <w:tl2br w:val="nil"/>
                    <w:tr2bl w:val="nil"/>
                  </w:tcBorders>
                  <w:tcMar>
                    <w:top w:w="0" w:type="dxa"/>
                    <w:left w:w="28" w:type="dxa"/>
                    <w:bottom w:w="0" w:type="dxa"/>
                    <w:right w:w="28" w:type="dxa"/>
                  </w:tcMar>
                  <w:vAlign w:val="center"/>
                </w:tcPr>
                <w:p w14:paraId="308A2CD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0.0216</w:t>
                  </w:r>
                </w:p>
              </w:tc>
              <w:tc>
                <w:tcPr>
                  <w:tcW w:w="283" w:type="dxa"/>
                  <w:vMerge w:val="continue"/>
                  <w:tcBorders>
                    <w:tl2br w:val="nil"/>
                    <w:tr2bl w:val="nil"/>
                  </w:tcBorders>
                  <w:tcMar>
                    <w:top w:w="0" w:type="dxa"/>
                    <w:left w:w="28" w:type="dxa"/>
                    <w:bottom w:w="0" w:type="dxa"/>
                    <w:right w:w="28" w:type="dxa"/>
                  </w:tcMar>
                  <w:vAlign w:val="center"/>
                </w:tcPr>
                <w:p w14:paraId="2E078935">
                  <w:pPr>
                    <w:pStyle w:val="24"/>
                    <w:rPr>
                      <w:rFonts w:hint="default" w:ascii="Times New Roman" w:hAnsi="Times New Roman" w:cs="Times New Roman"/>
                      <w:sz w:val="18"/>
                      <w:szCs w:val="18"/>
                    </w:rPr>
                  </w:pPr>
                </w:p>
              </w:tc>
              <w:tc>
                <w:tcPr>
                  <w:tcW w:w="283" w:type="dxa"/>
                  <w:vMerge w:val="continue"/>
                  <w:tcBorders>
                    <w:tl2br w:val="nil"/>
                    <w:tr2bl w:val="nil"/>
                  </w:tcBorders>
                  <w:tcMar>
                    <w:top w:w="0" w:type="dxa"/>
                    <w:left w:w="28" w:type="dxa"/>
                    <w:bottom w:w="0" w:type="dxa"/>
                    <w:right w:w="28" w:type="dxa"/>
                  </w:tcMar>
                  <w:vAlign w:val="center"/>
                </w:tcPr>
                <w:p w14:paraId="0139283A">
                  <w:pPr>
                    <w:pStyle w:val="24"/>
                    <w:rPr>
                      <w:rFonts w:hint="default" w:ascii="Times New Roman" w:hAnsi="Times New Roman" w:cs="Times New Roman"/>
                      <w:sz w:val="18"/>
                      <w:szCs w:val="18"/>
                    </w:rPr>
                  </w:pPr>
                </w:p>
              </w:tc>
              <w:tc>
                <w:tcPr>
                  <w:tcW w:w="334" w:type="dxa"/>
                  <w:vMerge w:val="continue"/>
                  <w:tcBorders>
                    <w:tl2br w:val="nil"/>
                    <w:tr2bl w:val="nil"/>
                  </w:tcBorders>
                  <w:tcMar>
                    <w:top w:w="0" w:type="dxa"/>
                    <w:left w:w="28" w:type="dxa"/>
                    <w:bottom w:w="0" w:type="dxa"/>
                    <w:right w:w="28" w:type="dxa"/>
                  </w:tcMar>
                  <w:vAlign w:val="center"/>
                </w:tcPr>
                <w:p w14:paraId="280A68BB">
                  <w:pPr>
                    <w:pStyle w:val="24"/>
                    <w:rPr>
                      <w:rFonts w:hint="default" w:ascii="Times New Roman" w:hAnsi="Times New Roman" w:cs="Times New Roman"/>
                      <w:sz w:val="18"/>
                      <w:szCs w:val="18"/>
                    </w:rPr>
                  </w:pPr>
                </w:p>
              </w:tc>
              <w:tc>
                <w:tcPr>
                  <w:tcW w:w="719" w:type="dxa"/>
                  <w:vMerge w:val="continue"/>
                  <w:tcBorders>
                    <w:tl2br w:val="nil"/>
                    <w:tr2bl w:val="nil"/>
                  </w:tcBorders>
                  <w:tcMar>
                    <w:top w:w="0" w:type="dxa"/>
                    <w:left w:w="28" w:type="dxa"/>
                    <w:bottom w:w="0" w:type="dxa"/>
                    <w:right w:w="28" w:type="dxa"/>
                  </w:tcMar>
                  <w:vAlign w:val="center"/>
                </w:tcPr>
                <w:p w14:paraId="05EFB7AA">
                  <w:pPr>
                    <w:pStyle w:val="24"/>
                    <w:rPr>
                      <w:rFonts w:hint="default" w:ascii="Times New Roman" w:hAnsi="Times New Roman" w:cs="Times New Roman"/>
                      <w:sz w:val="18"/>
                      <w:szCs w:val="18"/>
                    </w:rPr>
                  </w:pPr>
                </w:p>
              </w:tc>
              <w:tc>
                <w:tcPr>
                  <w:tcW w:w="240" w:type="dxa"/>
                  <w:vMerge w:val="continue"/>
                  <w:tcBorders>
                    <w:tl2br w:val="nil"/>
                    <w:tr2bl w:val="nil"/>
                  </w:tcBorders>
                  <w:tcMar>
                    <w:top w:w="0" w:type="dxa"/>
                    <w:left w:w="28" w:type="dxa"/>
                    <w:bottom w:w="0" w:type="dxa"/>
                    <w:right w:w="28" w:type="dxa"/>
                  </w:tcMar>
                  <w:vAlign w:val="center"/>
                </w:tcPr>
                <w:p w14:paraId="5D6581A8">
                  <w:pPr>
                    <w:pStyle w:val="24"/>
                    <w:rPr>
                      <w:rFonts w:hint="default" w:ascii="Times New Roman" w:hAnsi="Times New Roman" w:cs="Times New Roman"/>
                      <w:sz w:val="18"/>
                      <w:szCs w:val="18"/>
                    </w:rPr>
                  </w:pPr>
                </w:p>
              </w:tc>
              <w:tc>
                <w:tcPr>
                  <w:tcW w:w="336" w:type="dxa"/>
                  <w:vMerge w:val="continue"/>
                  <w:tcBorders>
                    <w:tl2br w:val="nil"/>
                    <w:tr2bl w:val="nil"/>
                  </w:tcBorders>
                  <w:tcMar>
                    <w:top w:w="0" w:type="dxa"/>
                    <w:left w:w="28" w:type="dxa"/>
                    <w:bottom w:w="0" w:type="dxa"/>
                    <w:right w:w="28" w:type="dxa"/>
                  </w:tcMar>
                  <w:vAlign w:val="center"/>
                </w:tcPr>
                <w:p w14:paraId="2B05C501">
                  <w:pPr>
                    <w:pStyle w:val="24"/>
                    <w:rPr>
                      <w:rFonts w:hint="default" w:ascii="Times New Roman" w:hAnsi="Times New Roman" w:cs="Times New Roman"/>
                      <w:sz w:val="18"/>
                      <w:szCs w:val="18"/>
                    </w:rPr>
                  </w:pPr>
                </w:p>
              </w:tc>
              <w:tc>
                <w:tcPr>
                  <w:tcW w:w="364" w:type="dxa"/>
                  <w:vMerge w:val="continue"/>
                  <w:tcBorders>
                    <w:tl2br w:val="nil"/>
                    <w:tr2bl w:val="nil"/>
                  </w:tcBorders>
                  <w:tcMar>
                    <w:top w:w="0" w:type="dxa"/>
                    <w:left w:w="28" w:type="dxa"/>
                    <w:bottom w:w="0" w:type="dxa"/>
                    <w:right w:w="28" w:type="dxa"/>
                  </w:tcMar>
                  <w:vAlign w:val="center"/>
                </w:tcPr>
                <w:p w14:paraId="1C1753E8">
                  <w:pPr>
                    <w:pStyle w:val="24"/>
                    <w:rPr>
                      <w:rFonts w:hint="default" w:ascii="Times New Roman" w:hAnsi="Times New Roman" w:cs="Times New Roman"/>
                      <w:sz w:val="18"/>
                      <w:szCs w:val="18"/>
                    </w:rPr>
                  </w:pPr>
                </w:p>
              </w:tc>
              <w:tc>
                <w:tcPr>
                  <w:tcW w:w="1061" w:type="dxa"/>
                  <w:vMerge w:val="continue"/>
                  <w:tcBorders>
                    <w:tl2br w:val="nil"/>
                    <w:tr2bl w:val="nil"/>
                  </w:tcBorders>
                  <w:tcMar>
                    <w:top w:w="0" w:type="dxa"/>
                    <w:left w:w="28" w:type="dxa"/>
                    <w:bottom w:w="0" w:type="dxa"/>
                    <w:right w:w="28" w:type="dxa"/>
                  </w:tcMar>
                  <w:vAlign w:val="center"/>
                </w:tcPr>
                <w:p w14:paraId="3FFAE5ED">
                  <w:pPr>
                    <w:pStyle w:val="24"/>
                    <w:rPr>
                      <w:rFonts w:hint="default" w:ascii="Times New Roman" w:hAnsi="Times New Roman" w:cs="Times New Roman"/>
                      <w:sz w:val="18"/>
                      <w:szCs w:val="18"/>
                    </w:rPr>
                  </w:pPr>
                </w:p>
              </w:tc>
              <w:tc>
                <w:tcPr>
                  <w:tcW w:w="439" w:type="dxa"/>
                  <w:tcBorders>
                    <w:tl2br w:val="nil"/>
                    <w:tr2bl w:val="nil"/>
                  </w:tcBorders>
                  <w:tcMar>
                    <w:top w:w="0" w:type="dxa"/>
                    <w:left w:w="28" w:type="dxa"/>
                    <w:bottom w:w="0" w:type="dxa"/>
                    <w:right w:w="28" w:type="dxa"/>
                  </w:tcMar>
                  <w:vAlign w:val="center"/>
                </w:tcPr>
                <w:p w14:paraId="1A6A1F65">
                  <w:pPr>
                    <w:pStyle w:val="24"/>
                    <w:rPr>
                      <w:rFonts w:hint="default" w:ascii="Times New Roman" w:hAnsi="Times New Roman" w:cs="Times New Roman"/>
                      <w:sz w:val="18"/>
                      <w:szCs w:val="18"/>
                    </w:rPr>
                  </w:pPr>
                  <w:r>
                    <w:rPr>
                      <w:rFonts w:hint="default" w:ascii="Times New Roman" w:hAnsi="Times New Roman" w:cs="Times New Roman"/>
                      <w:sz w:val="18"/>
                      <w:szCs w:val="18"/>
                    </w:rPr>
                    <w:t>8</w:t>
                  </w:r>
                </w:p>
              </w:tc>
              <w:tc>
                <w:tcPr>
                  <w:tcW w:w="343" w:type="dxa"/>
                  <w:vMerge w:val="continue"/>
                  <w:tcBorders>
                    <w:tl2br w:val="nil"/>
                    <w:tr2bl w:val="nil"/>
                  </w:tcBorders>
                  <w:tcMar>
                    <w:top w:w="0" w:type="dxa"/>
                    <w:left w:w="28" w:type="dxa"/>
                    <w:bottom w:w="0" w:type="dxa"/>
                    <w:right w:w="28" w:type="dxa"/>
                  </w:tcMar>
                  <w:vAlign w:val="center"/>
                </w:tcPr>
                <w:p w14:paraId="77EB6347">
                  <w:pPr>
                    <w:pStyle w:val="24"/>
                    <w:rPr>
                      <w:rFonts w:hint="default" w:ascii="Times New Roman" w:hAnsi="Times New Roman" w:cs="Times New Roman"/>
                      <w:sz w:val="18"/>
                      <w:szCs w:val="18"/>
                    </w:rPr>
                  </w:pPr>
                </w:p>
              </w:tc>
              <w:tc>
                <w:tcPr>
                  <w:tcW w:w="829" w:type="dxa"/>
                  <w:vMerge w:val="continue"/>
                  <w:tcBorders>
                    <w:tl2br w:val="nil"/>
                    <w:tr2bl w:val="nil"/>
                  </w:tcBorders>
                  <w:tcMar>
                    <w:top w:w="0" w:type="dxa"/>
                    <w:left w:w="28" w:type="dxa"/>
                    <w:bottom w:w="0" w:type="dxa"/>
                    <w:right w:w="28" w:type="dxa"/>
                  </w:tcMar>
                  <w:vAlign w:val="center"/>
                </w:tcPr>
                <w:p w14:paraId="1A4E1398">
                  <w:pPr>
                    <w:pStyle w:val="24"/>
                    <w:rPr>
                      <w:rFonts w:hint="default" w:ascii="Times New Roman" w:hAnsi="Times New Roman" w:cs="Times New Roman"/>
                      <w:sz w:val="18"/>
                      <w:szCs w:val="18"/>
                    </w:rPr>
                  </w:pPr>
                </w:p>
              </w:tc>
              <w:tc>
                <w:tcPr>
                  <w:tcW w:w="333" w:type="dxa"/>
                  <w:vMerge w:val="continue"/>
                  <w:tcBorders>
                    <w:tl2br w:val="nil"/>
                    <w:tr2bl w:val="nil"/>
                  </w:tcBorders>
                  <w:tcMar>
                    <w:top w:w="0" w:type="dxa"/>
                    <w:left w:w="28" w:type="dxa"/>
                    <w:bottom w:w="0" w:type="dxa"/>
                    <w:right w:w="28" w:type="dxa"/>
                  </w:tcMar>
                  <w:vAlign w:val="center"/>
                </w:tcPr>
                <w:p w14:paraId="6997A875">
                  <w:pPr>
                    <w:pStyle w:val="24"/>
                    <w:rPr>
                      <w:rFonts w:hint="default" w:ascii="Times New Roman" w:hAnsi="Times New Roman" w:cs="Times New Roman"/>
                      <w:sz w:val="18"/>
                      <w:szCs w:val="18"/>
                    </w:rPr>
                  </w:pPr>
                </w:p>
              </w:tc>
              <w:tc>
                <w:tcPr>
                  <w:tcW w:w="501" w:type="dxa"/>
                  <w:vMerge w:val="continue"/>
                  <w:tcBorders>
                    <w:tl2br w:val="nil"/>
                    <w:tr2bl w:val="nil"/>
                  </w:tcBorders>
                  <w:tcMar>
                    <w:top w:w="0" w:type="dxa"/>
                    <w:left w:w="28" w:type="dxa"/>
                    <w:bottom w:w="0" w:type="dxa"/>
                    <w:right w:w="28" w:type="dxa"/>
                  </w:tcMar>
                  <w:vAlign w:val="center"/>
                </w:tcPr>
                <w:p w14:paraId="66EF8711">
                  <w:pPr>
                    <w:pStyle w:val="24"/>
                    <w:rPr>
                      <w:rFonts w:hint="default" w:ascii="Times New Roman" w:hAnsi="Times New Roman" w:cs="Times New Roman"/>
                      <w:sz w:val="18"/>
                      <w:szCs w:val="18"/>
                    </w:rPr>
                  </w:pPr>
                </w:p>
              </w:tc>
            </w:tr>
            <w:tr w14:paraId="6A33D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0" w:type="dxa"/>
                  <w:gridSpan w:val="2"/>
                  <w:vMerge w:val="continue"/>
                  <w:tcBorders>
                    <w:tl2br w:val="nil"/>
                    <w:tr2bl w:val="nil"/>
                  </w:tcBorders>
                  <w:tcMar>
                    <w:top w:w="0" w:type="dxa"/>
                    <w:left w:w="28" w:type="dxa"/>
                    <w:bottom w:w="0" w:type="dxa"/>
                    <w:right w:w="28" w:type="dxa"/>
                  </w:tcMar>
                  <w:vAlign w:val="center"/>
                </w:tcPr>
                <w:p w14:paraId="7D392972">
                  <w:pPr>
                    <w:pStyle w:val="24"/>
                    <w:rPr>
                      <w:rFonts w:hint="default" w:ascii="Times New Roman" w:hAnsi="Times New Roman" w:cs="Times New Roman"/>
                      <w:sz w:val="18"/>
                      <w:szCs w:val="18"/>
                    </w:rPr>
                  </w:pPr>
                </w:p>
              </w:tc>
              <w:tc>
                <w:tcPr>
                  <w:tcW w:w="568" w:type="dxa"/>
                  <w:tcBorders>
                    <w:tl2br w:val="nil"/>
                    <w:tr2bl w:val="nil"/>
                  </w:tcBorders>
                  <w:tcMar>
                    <w:top w:w="0" w:type="dxa"/>
                    <w:left w:w="28" w:type="dxa"/>
                    <w:bottom w:w="0" w:type="dxa"/>
                    <w:right w:w="28" w:type="dxa"/>
                  </w:tcMar>
                  <w:vAlign w:val="center"/>
                </w:tcPr>
                <w:p w14:paraId="5733617D">
                  <w:pPr>
                    <w:pStyle w:val="24"/>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T</w:t>
                  </w:r>
                  <w:r>
                    <w:rPr>
                      <w:rFonts w:hint="eastAsia" w:ascii="Times New Roman" w:hAnsi="Times New Roman" w:cs="Times New Roman"/>
                      <w:sz w:val="18"/>
                      <w:szCs w:val="18"/>
                      <w:lang w:val="en-US" w:eastAsia="zh-CN"/>
                    </w:rPr>
                    <w:t>P</w:t>
                  </w:r>
                </w:p>
              </w:tc>
              <w:tc>
                <w:tcPr>
                  <w:tcW w:w="330" w:type="dxa"/>
                  <w:vMerge w:val="continue"/>
                  <w:tcBorders>
                    <w:tl2br w:val="nil"/>
                    <w:tr2bl w:val="nil"/>
                  </w:tcBorders>
                  <w:tcMar>
                    <w:top w:w="0" w:type="dxa"/>
                    <w:left w:w="28" w:type="dxa"/>
                    <w:bottom w:w="0" w:type="dxa"/>
                    <w:right w:w="28" w:type="dxa"/>
                  </w:tcMar>
                  <w:vAlign w:val="center"/>
                </w:tcPr>
                <w:p w14:paraId="3DEEB56E">
                  <w:pPr>
                    <w:pStyle w:val="24"/>
                    <w:rPr>
                      <w:rFonts w:hint="default" w:ascii="Times New Roman" w:hAnsi="Times New Roman" w:cs="Times New Roman"/>
                      <w:sz w:val="18"/>
                      <w:szCs w:val="18"/>
                    </w:rPr>
                  </w:pPr>
                </w:p>
              </w:tc>
              <w:tc>
                <w:tcPr>
                  <w:tcW w:w="420" w:type="dxa"/>
                  <w:vMerge w:val="continue"/>
                  <w:tcBorders>
                    <w:tl2br w:val="nil"/>
                    <w:tr2bl w:val="nil"/>
                  </w:tcBorders>
                  <w:tcMar>
                    <w:top w:w="0" w:type="dxa"/>
                    <w:left w:w="28" w:type="dxa"/>
                    <w:bottom w:w="0" w:type="dxa"/>
                    <w:right w:w="28" w:type="dxa"/>
                  </w:tcMar>
                  <w:vAlign w:val="center"/>
                </w:tcPr>
                <w:p w14:paraId="734881D9">
                  <w:pPr>
                    <w:pStyle w:val="24"/>
                    <w:rPr>
                      <w:rFonts w:hint="default" w:ascii="Times New Roman" w:hAnsi="Times New Roman" w:cs="Times New Roman"/>
                      <w:sz w:val="18"/>
                      <w:szCs w:val="18"/>
                    </w:rPr>
                  </w:pPr>
                </w:p>
              </w:tc>
              <w:tc>
                <w:tcPr>
                  <w:tcW w:w="472" w:type="dxa"/>
                  <w:tcBorders>
                    <w:tl2br w:val="nil"/>
                    <w:tr2bl w:val="nil"/>
                  </w:tcBorders>
                  <w:tcMar>
                    <w:top w:w="0" w:type="dxa"/>
                    <w:left w:w="28" w:type="dxa"/>
                    <w:bottom w:w="0" w:type="dxa"/>
                    <w:right w:w="28" w:type="dxa"/>
                  </w:tcMar>
                  <w:vAlign w:val="center"/>
                </w:tcPr>
                <w:p w14:paraId="20CD4585">
                  <w:pPr>
                    <w:pStyle w:val="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w:t>
                  </w:r>
                </w:p>
              </w:tc>
              <w:tc>
                <w:tcPr>
                  <w:tcW w:w="675" w:type="dxa"/>
                  <w:tcBorders>
                    <w:tl2br w:val="nil"/>
                    <w:tr2bl w:val="nil"/>
                  </w:tcBorders>
                  <w:tcMar>
                    <w:top w:w="0" w:type="dxa"/>
                    <w:left w:w="28" w:type="dxa"/>
                    <w:bottom w:w="0" w:type="dxa"/>
                    <w:right w:w="28" w:type="dxa"/>
                  </w:tcMar>
                  <w:vAlign w:val="center"/>
                </w:tcPr>
                <w:p w14:paraId="1300F4A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0.0086</w:t>
                  </w:r>
                </w:p>
              </w:tc>
              <w:tc>
                <w:tcPr>
                  <w:tcW w:w="278" w:type="dxa"/>
                  <w:vMerge w:val="continue"/>
                  <w:tcBorders>
                    <w:tl2br w:val="nil"/>
                    <w:tr2bl w:val="nil"/>
                  </w:tcBorders>
                  <w:tcMar>
                    <w:top w:w="0" w:type="dxa"/>
                    <w:left w:w="28" w:type="dxa"/>
                    <w:bottom w:w="0" w:type="dxa"/>
                    <w:right w:w="28" w:type="dxa"/>
                  </w:tcMar>
                  <w:vAlign w:val="center"/>
                </w:tcPr>
                <w:p w14:paraId="043E87BD">
                  <w:pPr>
                    <w:pStyle w:val="24"/>
                    <w:rPr>
                      <w:rFonts w:hint="default" w:ascii="Times New Roman" w:hAnsi="Times New Roman" w:cs="Times New Roman"/>
                      <w:sz w:val="18"/>
                      <w:szCs w:val="18"/>
                    </w:rPr>
                  </w:pPr>
                </w:p>
              </w:tc>
              <w:tc>
                <w:tcPr>
                  <w:tcW w:w="332" w:type="dxa"/>
                  <w:vMerge w:val="continue"/>
                  <w:tcBorders>
                    <w:tl2br w:val="nil"/>
                    <w:tr2bl w:val="nil"/>
                  </w:tcBorders>
                  <w:tcMar>
                    <w:top w:w="0" w:type="dxa"/>
                    <w:left w:w="28" w:type="dxa"/>
                    <w:bottom w:w="0" w:type="dxa"/>
                    <w:right w:w="28" w:type="dxa"/>
                  </w:tcMar>
                  <w:vAlign w:val="center"/>
                </w:tcPr>
                <w:p w14:paraId="13DFB3B5">
                  <w:pPr>
                    <w:pStyle w:val="24"/>
                    <w:rPr>
                      <w:rFonts w:hint="default" w:ascii="Times New Roman" w:hAnsi="Times New Roman" w:cs="Times New Roman"/>
                      <w:sz w:val="18"/>
                      <w:szCs w:val="18"/>
                    </w:rPr>
                  </w:pPr>
                </w:p>
              </w:tc>
              <w:tc>
                <w:tcPr>
                  <w:tcW w:w="311" w:type="dxa"/>
                  <w:tcBorders>
                    <w:tl2br w:val="nil"/>
                    <w:tr2bl w:val="nil"/>
                  </w:tcBorders>
                  <w:tcMar>
                    <w:top w:w="0" w:type="dxa"/>
                    <w:left w:w="28" w:type="dxa"/>
                    <w:bottom w:w="0" w:type="dxa"/>
                    <w:right w:w="28" w:type="dxa"/>
                  </w:tcMar>
                  <w:vAlign w:val="center"/>
                </w:tcPr>
                <w:p w14:paraId="31091C84">
                  <w:pPr>
                    <w:pStyle w:val="24"/>
                    <w:rPr>
                      <w:rFonts w:hint="default" w:ascii="Times New Roman" w:hAnsi="Times New Roman" w:cs="Times New Roman"/>
                      <w:sz w:val="18"/>
                      <w:szCs w:val="18"/>
                    </w:rPr>
                  </w:pPr>
                  <w:r>
                    <w:rPr>
                      <w:rFonts w:hint="default" w:ascii="Times New Roman" w:hAnsi="Times New Roman" w:cs="Times New Roman"/>
                      <w:sz w:val="18"/>
                      <w:szCs w:val="18"/>
                    </w:rPr>
                    <w:t>0</w:t>
                  </w:r>
                </w:p>
              </w:tc>
              <w:tc>
                <w:tcPr>
                  <w:tcW w:w="354" w:type="dxa"/>
                  <w:vMerge w:val="continue"/>
                  <w:tcBorders>
                    <w:tl2br w:val="nil"/>
                    <w:tr2bl w:val="nil"/>
                  </w:tcBorders>
                  <w:tcMar>
                    <w:top w:w="0" w:type="dxa"/>
                    <w:left w:w="28" w:type="dxa"/>
                    <w:bottom w:w="0" w:type="dxa"/>
                    <w:right w:w="28" w:type="dxa"/>
                  </w:tcMar>
                  <w:vAlign w:val="center"/>
                </w:tcPr>
                <w:p w14:paraId="5ED89A65">
                  <w:pPr>
                    <w:pStyle w:val="24"/>
                    <w:rPr>
                      <w:rFonts w:hint="default" w:ascii="Times New Roman" w:hAnsi="Times New Roman" w:cs="Times New Roman"/>
                      <w:sz w:val="18"/>
                      <w:szCs w:val="18"/>
                    </w:rPr>
                  </w:pPr>
                </w:p>
              </w:tc>
              <w:tc>
                <w:tcPr>
                  <w:tcW w:w="510" w:type="dxa"/>
                  <w:vMerge w:val="continue"/>
                  <w:tcBorders>
                    <w:tl2br w:val="nil"/>
                    <w:tr2bl w:val="nil"/>
                  </w:tcBorders>
                  <w:tcMar>
                    <w:top w:w="0" w:type="dxa"/>
                    <w:left w:w="28" w:type="dxa"/>
                    <w:bottom w:w="0" w:type="dxa"/>
                    <w:right w:w="28" w:type="dxa"/>
                  </w:tcMar>
                  <w:vAlign w:val="center"/>
                </w:tcPr>
                <w:p w14:paraId="24C9C803">
                  <w:pPr>
                    <w:pStyle w:val="24"/>
                    <w:rPr>
                      <w:rFonts w:hint="default" w:ascii="Times New Roman" w:hAnsi="Times New Roman" w:cs="Times New Roman"/>
                      <w:sz w:val="18"/>
                      <w:szCs w:val="18"/>
                    </w:rPr>
                  </w:pPr>
                </w:p>
              </w:tc>
              <w:tc>
                <w:tcPr>
                  <w:tcW w:w="615" w:type="dxa"/>
                  <w:tcBorders>
                    <w:tl2br w:val="nil"/>
                    <w:tr2bl w:val="nil"/>
                  </w:tcBorders>
                  <w:tcMar>
                    <w:top w:w="0" w:type="dxa"/>
                    <w:left w:w="28" w:type="dxa"/>
                    <w:bottom w:w="0" w:type="dxa"/>
                    <w:right w:w="28" w:type="dxa"/>
                  </w:tcMar>
                  <w:vAlign w:val="center"/>
                </w:tcPr>
                <w:p w14:paraId="1F1D38A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60" w:type="dxa"/>
                  <w:tcBorders>
                    <w:tl2br w:val="nil"/>
                    <w:tr2bl w:val="nil"/>
                  </w:tcBorders>
                  <w:tcMar>
                    <w:top w:w="0" w:type="dxa"/>
                    <w:left w:w="28" w:type="dxa"/>
                    <w:bottom w:w="0" w:type="dxa"/>
                    <w:right w:w="28" w:type="dxa"/>
                  </w:tcMar>
                  <w:vAlign w:val="center"/>
                </w:tcPr>
                <w:p w14:paraId="42F649A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0.0086</w:t>
                  </w:r>
                </w:p>
              </w:tc>
              <w:tc>
                <w:tcPr>
                  <w:tcW w:w="480" w:type="dxa"/>
                  <w:tcBorders>
                    <w:tl2br w:val="nil"/>
                    <w:tr2bl w:val="nil"/>
                  </w:tcBorders>
                  <w:tcMar>
                    <w:top w:w="0" w:type="dxa"/>
                    <w:left w:w="28" w:type="dxa"/>
                    <w:bottom w:w="0" w:type="dxa"/>
                    <w:right w:w="28" w:type="dxa"/>
                  </w:tcMar>
                  <w:vAlign w:val="center"/>
                </w:tcPr>
                <w:p w14:paraId="0790226F">
                  <w:pPr>
                    <w:pStyle w:val="24"/>
                    <w:rPr>
                      <w:rFonts w:hint="default" w:ascii="Times New Roman" w:hAnsi="Times New Roman" w:cs="Times New Roman"/>
                      <w:sz w:val="18"/>
                      <w:szCs w:val="18"/>
                    </w:rPr>
                  </w:pPr>
                  <w:r>
                    <w:rPr>
                      <w:rFonts w:hint="default" w:ascii="Times New Roman" w:hAnsi="Times New Roman" w:cs="Times New Roman"/>
                      <w:sz w:val="18"/>
                      <w:szCs w:val="18"/>
                    </w:rPr>
                    <w:t>15</w:t>
                  </w:r>
                </w:p>
              </w:tc>
              <w:tc>
                <w:tcPr>
                  <w:tcW w:w="646" w:type="dxa"/>
                  <w:tcBorders>
                    <w:tl2br w:val="nil"/>
                    <w:tr2bl w:val="nil"/>
                  </w:tcBorders>
                  <w:tcMar>
                    <w:top w:w="0" w:type="dxa"/>
                    <w:left w:w="28" w:type="dxa"/>
                    <w:bottom w:w="0" w:type="dxa"/>
                    <w:right w:w="28" w:type="dxa"/>
                  </w:tcMar>
                  <w:vAlign w:val="center"/>
                </w:tcPr>
                <w:p w14:paraId="109AE6D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0.0007</w:t>
                  </w:r>
                </w:p>
              </w:tc>
              <w:tc>
                <w:tcPr>
                  <w:tcW w:w="283" w:type="dxa"/>
                  <w:vMerge w:val="continue"/>
                  <w:tcBorders>
                    <w:tl2br w:val="nil"/>
                    <w:tr2bl w:val="nil"/>
                  </w:tcBorders>
                  <w:tcMar>
                    <w:top w:w="0" w:type="dxa"/>
                    <w:left w:w="28" w:type="dxa"/>
                    <w:bottom w:w="0" w:type="dxa"/>
                    <w:right w:w="28" w:type="dxa"/>
                  </w:tcMar>
                  <w:vAlign w:val="center"/>
                </w:tcPr>
                <w:p w14:paraId="5F1C0534">
                  <w:pPr>
                    <w:pStyle w:val="24"/>
                    <w:rPr>
                      <w:rFonts w:hint="default" w:ascii="Times New Roman" w:hAnsi="Times New Roman" w:cs="Times New Roman"/>
                      <w:sz w:val="18"/>
                      <w:szCs w:val="18"/>
                    </w:rPr>
                  </w:pPr>
                </w:p>
              </w:tc>
              <w:tc>
                <w:tcPr>
                  <w:tcW w:w="283" w:type="dxa"/>
                  <w:vMerge w:val="continue"/>
                  <w:tcBorders>
                    <w:tl2br w:val="nil"/>
                    <w:tr2bl w:val="nil"/>
                  </w:tcBorders>
                  <w:tcMar>
                    <w:top w:w="0" w:type="dxa"/>
                    <w:left w:w="28" w:type="dxa"/>
                    <w:bottom w:w="0" w:type="dxa"/>
                    <w:right w:w="28" w:type="dxa"/>
                  </w:tcMar>
                  <w:vAlign w:val="center"/>
                </w:tcPr>
                <w:p w14:paraId="3932B49A">
                  <w:pPr>
                    <w:pStyle w:val="24"/>
                    <w:rPr>
                      <w:rFonts w:hint="default" w:ascii="Times New Roman" w:hAnsi="Times New Roman" w:cs="Times New Roman"/>
                      <w:sz w:val="18"/>
                      <w:szCs w:val="18"/>
                    </w:rPr>
                  </w:pPr>
                </w:p>
              </w:tc>
              <w:tc>
                <w:tcPr>
                  <w:tcW w:w="334" w:type="dxa"/>
                  <w:vMerge w:val="continue"/>
                  <w:tcBorders>
                    <w:tl2br w:val="nil"/>
                    <w:tr2bl w:val="nil"/>
                  </w:tcBorders>
                  <w:tcMar>
                    <w:top w:w="0" w:type="dxa"/>
                    <w:left w:w="28" w:type="dxa"/>
                    <w:bottom w:w="0" w:type="dxa"/>
                    <w:right w:w="28" w:type="dxa"/>
                  </w:tcMar>
                  <w:vAlign w:val="center"/>
                </w:tcPr>
                <w:p w14:paraId="1DA65D5A">
                  <w:pPr>
                    <w:pStyle w:val="24"/>
                    <w:rPr>
                      <w:rFonts w:hint="default" w:ascii="Times New Roman" w:hAnsi="Times New Roman" w:cs="Times New Roman"/>
                      <w:sz w:val="18"/>
                      <w:szCs w:val="18"/>
                    </w:rPr>
                  </w:pPr>
                </w:p>
              </w:tc>
              <w:tc>
                <w:tcPr>
                  <w:tcW w:w="719" w:type="dxa"/>
                  <w:vMerge w:val="continue"/>
                  <w:tcBorders>
                    <w:tl2br w:val="nil"/>
                    <w:tr2bl w:val="nil"/>
                  </w:tcBorders>
                  <w:tcMar>
                    <w:top w:w="0" w:type="dxa"/>
                    <w:left w:w="28" w:type="dxa"/>
                    <w:bottom w:w="0" w:type="dxa"/>
                    <w:right w:w="28" w:type="dxa"/>
                  </w:tcMar>
                  <w:vAlign w:val="center"/>
                </w:tcPr>
                <w:p w14:paraId="05546511">
                  <w:pPr>
                    <w:pStyle w:val="24"/>
                    <w:rPr>
                      <w:rFonts w:hint="default" w:ascii="Times New Roman" w:hAnsi="Times New Roman" w:cs="Times New Roman"/>
                      <w:sz w:val="18"/>
                      <w:szCs w:val="18"/>
                    </w:rPr>
                  </w:pPr>
                </w:p>
              </w:tc>
              <w:tc>
                <w:tcPr>
                  <w:tcW w:w="240" w:type="dxa"/>
                  <w:vMerge w:val="continue"/>
                  <w:tcBorders>
                    <w:tl2br w:val="nil"/>
                    <w:tr2bl w:val="nil"/>
                  </w:tcBorders>
                  <w:tcMar>
                    <w:top w:w="0" w:type="dxa"/>
                    <w:left w:w="28" w:type="dxa"/>
                    <w:bottom w:w="0" w:type="dxa"/>
                    <w:right w:w="28" w:type="dxa"/>
                  </w:tcMar>
                  <w:vAlign w:val="center"/>
                </w:tcPr>
                <w:p w14:paraId="7F452CF3">
                  <w:pPr>
                    <w:pStyle w:val="24"/>
                    <w:rPr>
                      <w:rFonts w:hint="default" w:ascii="Times New Roman" w:hAnsi="Times New Roman" w:cs="Times New Roman"/>
                      <w:sz w:val="18"/>
                      <w:szCs w:val="18"/>
                    </w:rPr>
                  </w:pPr>
                </w:p>
              </w:tc>
              <w:tc>
                <w:tcPr>
                  <w:tcW w:w="336" w:type="dxa"/>
                  <w:vMerge w:val="continue"/>
                  <w:tcBorders>
                    <w:tl2br w:val="nil"/>
                    <w:tr2bl w:val="nil"/>
                  </w:tcBorders>
                  <w:tcMar>
                    <w:top w:w="0" w:type="dxa"/>
                    <w:left w:w="28" w:type="dxa"/>
                    <w:bottom w:w="0" w:type="dxa"/>
                    <w:right w:w="28" w:type="dxa"/>
                  </w:tcMar>
                  <w:vAlign w:val="center"/>
                </w:tcPr>
                <w:p w14:paraId="46301CBD">
                  <w:pPr>
                    <w:pStyle w:val="24"/>
                    <w:rPr>
                      <w:rFonts w:hint="default" w:ascii="Times New Roman" w:hAnsi="Times New Roman" w:cs="Times New Roman"/>
                      <w:sz w:val="18"/>
                      <w:szCs w:val="18"/>
                    </w:rPr>
                  </w:pPr>
                </w:p>
              </w:tc>
              <w:tc>
                <w:tcPr>
                  <w:tcW w:w="364" w:type="dxa"/>
                  <w:vMerge w:val="continue"/>
                  <w:tcBorders>
                    <w:tl2br w:val="nil"/>
                    <w:tr2bl w:val="nil"/>
                  </w:tcBorders>
                  <w:tcMar>
                    <w:top w:w="0" w:type="dxa"/>
                    <w:left w:w="28" w:type="dxa"/>
                    <w:bottom w:w="0" w:type="dxa"/>
                    <w:right w:w="28" w:type="dxa"/>
                  </w:tcMar>
                  <w:vAlign w:val="center"/>
                </w:tcPr>
                <w:p w14:paraId="2F0C315B">
                  <w:pPr>
                    <w:pStyle w:val="24"/>
                    <w:rPr>
                      <w:rFonts w:hint="default" w:ascii="Times New Roman" w:hAnsi="Times New Roman" w:cs="Times New Roman"/>
                      <w:sz w:val="18"/>
                      <w:szCs w:val="18"/>
                    </w:rPr>
                  </w:pPr>
                </w:p>
              </w:tc>
              <w:tc>
                <w:tcPr>
                  <w:tcW w:w="1061" w:type="dxa"/>
                  <w:vMerge w:val="continue"/>
                  <w:tcBorders>
                    <w:tl2br w:val="nil"/>
                    <w:tr2bl w:val="nil"/>
                  </w:tcBorders>
                  <w:tcMar>
                    <w:top w:w="0" w:type="dxa"/>
                    <w:left w:w="28" w:type="dxa"/>
                    <w:bottom w:w="0" w:type="dxa"/>
                    <w:right w:w="28" w:type="dxa"/>
                  </w:tcMar>
                  <w:vAlign w:val="center"/>
                </w:tcPr>
                <w:p w14:paraId="0F2033A1">
                  <w:pPr>
                    <w:pStyle w:val="24"/>
                    <w:rPr>
                      <w:rFonts w:hint="default" w:ascii="Times New Roman" w:hAnsi="Times New Roman" w:cs="Times New Roman"/>
                      <w:sz w:val="18"/>
                      <w:szCs w:val="18"/>
                    </w:rPr>
                  </w:pPr>
                </w:p>
              </w:tc>
              <w:tc>
                <w:tcPr>
                  <w:tcW w:w="439" w:type="dxa"/>
                  <w:tcBorders>
                    <w:tl2br w:val="nil"/>
                    <w:tr2bl w:val="nil"/>
                  </w:tcBorders>
                  <w:tcMar>
                    <w:top w:w="0" w:type="dxa"/>
                    <w:left w:w="28" w:type="dxa"/>
                    <w:bottom w:w="0" w:type="dxa"/>
                    <w:right w:w="28" w:type="dxa"/>
                  </w:tcMar>
                  <w:vAlign w:val="center"/>
                </w:tcPr>
                <w:p w14:paraId="47FDB136">
                  <w:pPr>
                    <w:pStyle w:val="24"/>
                    <w:rPr>
                      <w:rFonts w:hint="default" w:ascii="Times New Roman" w:hAnsi="Times New Roman" w:cs="Times New Roman"/>
                      <w:sz w:val="18"/>
                      <w:szCs w:val="18"/>
                    </w:rPr>
                  </w:pPr>
                  <w:r>
                    <w:rPr>
                      <w:rFonts w:hint="default" w:ascii="Times New Roman" w:hAnsi="Times New Roman" w:cs="Times New Roman"/>
                      <w:sz w:val="18"/>
                      <w:szCs w:val="18"/>
                    </w:rPr>
                    <w:t>70</w:t>
                  </w:r>
                </w:p>
              </w:tc>
              <w:tc>
                <w:tcPr>
                  <w:tcW w:w="343" w:type="dxa"/>
                  <w:vMerge w:val="continue"/>
                  <w:tcBorders>
                    <w:tl2br w:val="nil"/>
                    <w:tr2bl w:val="nil"/>
                  </w:tcBorders>
                  <w:tcMar>
                    <w:top w:w="0" w:type="dxa"/>
                    <w:left w:w="28" w:type="dxa"/>
                    <w:bottom w:w="0" w:type="dxa"/>
                    <w:right w:w="28" w:type="dxa"/>
                  </w:tcMar>
                  <w:vAlign w:val="center"/>
                </w:tcPr>
                <w:p w14:paraId="63911E0F">
                  <w:pPr>
                    <w:pStyle w:val="24"/>
                    <w:rPr>
                      <w:rFonts w:hint="default" w:ascii="Times New Roman" w:hAnsi="Times New Roman" w:cs="Times New Roman"/>
                      <w:sz w:val="18"/>
                      <w:szCs w:val="18"/>
                    </w:rPr>
                  </w:pPr>
                </w:p>
              </w:tc>
              <w:tc>
                <w:tcPr>
                  <w:tcW w:w="829" w:type="dxa"/>
                  <w:vMerge w:val="continue"/>
                  <w:tcBorders>
                    <w:tl2br w:val="nil"/>
                    <w:tr2bl w:val="nil"/>
                  </w:tcBorders>
                  <w:tcMar>
                    <w:top w:w="0" w:type="dxa"/>
                    <w:left w:w="28" w:type="dxa"/>
                    <w:bottom w:w="0" w:type="dxa"/>
                    <w:right w:w="28" w:type="dxa"/>
                  </w:tcMar>
                  <w:vAlign w:val="center"/>
                </w:tcPr>
                <w:p w14:paraId="0A5638B2">
                  <w:pPr>
                    <w:pStyle w:val="24"/>
                    <w:rPr>
                      <w:rFonts w:hint="default" w:ascii="Times New Roman" w:hAnsi="Times New Roman" w:cs="Times New Roman"/>
                      <w:sz w:val="18"/>
                      <w:szCs w:val="18"/>
                    </w:rPr>
                  </w:pPr>
                </w:p>
              </w:tc>
              <w:tc>
                <w:tcPr>
                  <w:tcW w:w="333" w:type="dxa"/>
                  <w:vMerge w:val="continue"/>
                  <w:tcBorders>
                    <w:tl2br w:val="nil"/>
                    <w:tr2bl w:val="nil"/>
                  </w:tcBorders>
                  <w:tcMar>
                    <w:top w:w="0" w:type="dxa"/>
                    <w:left w:w="28" w:type="dxa"/>
                    <w:bottom w:w="0" w:type="dxa"/>
                    <w:right w:w="28" w:type="dxa"/>
                  </w:tcMar>
                  <w:vAlign w:val="center"/>
                </w:tcPr>
                <w:p w14:paraId="72954777">
                  <w:pPr>
                    <w:pStyle w:val="24"/>
                    <w:rPr>
                      <w:rFonts w:hint="default" w:ascii="Times New Roman" w:hAnsi="Times New Roman" w:cs="Times New Roman"/>
                      <w:sz w:val="18"/>
                      <w:szCs w:val="18"/>
                    </w:rPr>
                  </w:pPr>
                </w:p>
              </w:tc>
              <w:tc>
                <w:tcPr>
                  <w:tcW w:w="501" w:type="dxa"/>
                  <w:vMerge w:val="continue"/>
                  <w:tcBorders>
                    <w:tl2br w:val="nil"/>
                    <w:tr2bl w:val="nil"/>
                  </w:tcBorders>
                  <w:tcMar>
                    <w:top w:w="0" w:type="dxa"/>
                    <w:left w:w="28" w:type="dxa"/>
                    <w:bottom w:w="0" w:type="dxa"/>
                    <w:right w:w="28" w:type="dxa"/>
                  </w:tcMar>
                  <w:vAlign w:val="center"/>
                </w:tcPr>
                <w:p w14:paraId="0B46EA34">
                  <w:pPr>
                    <w:pStyle w:val="24"/>
                    <w:rPr>
                      <w:rFonts w:hint="default" w:ascii="Times New Roman" w:hAnsi="Times New Roman" w:cs="Times New Roman"/>
                      <w:sz w:val="18"/>
                      <w:szCs w:val="18"/>
                    </w:rPr>
                  </w:pPr>
                </w:p>
              </w:tc>
            </w:tr>
            <w:tr w14:paraId="3360D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326" w:type="dxa"/>
                  <w:gridSpan w:val="29"/>
                  <w:tcBorders>
                    <w:tl2br w:val="nil"/>
                    <w:tr2bl w:val="nil"/>
                  </w:tcBorders>
                  <w:tcMar>
                    <w:top w:w="0" w:type="dxa"/>
                    <w:left w:w="28" w:type="dxa"/>
                    <w:bottom w:w="0" w:type="dxa"/>
                    <w:right w:w="28" w:type="dxa"/>
                  </w:tcMar>
                  <w:vAlign w:val="center"/>
                </w:tcPr>
                <w:p w14:paraId="6F29FAA8">
                  <w:pPr>
                    <w:pStyle w:val="24"/>
                    <w:rPr>
                      <w:rFonts w:hint="default" w:ascii="Times New Roman" w:hAnsi="Times New Roman" w:cs="Times New Roman"/>
                      <w:sz w:val="18"/>
                      <w:szCs w:val="18"/>
                    </w:rPr>
                  </w:pPr>
                  <w:r>
                    <w:rPr>
                      <w:rFonts w:hint="default" w:ascii="Times New Roman" w:hAnsi="Times New Roman" w:cs="Times New Roman"/>
                      <w:sz w:val="18"/>
                      <w:szCs w:val="18"/>
                    </w:rPr>
                    <w:t>备注：pH为无量纲。</w:t>
                  </w:r>
                </w:p>
              </w:tc>
            </w:tr>
          </w:tbl>
          <w:p w14:paraId="19D4DC17">
            <w:pPr>
              <w:pStyle w:val="24"/>
              <w:rPr>
                <w:rFonts w:hint="default" w:ascii="Times New Roman" w:hAnsi="Times New Roman" w:cs="Times New Roman"/>
                <w:sz w:val="21"/>
                <w:szCs w:val="21"/>
              </w:rPr>
            </w:pPr>
          </w:p>
          <w:p w14:paraId="07CC73C2">
            <w:pPr>
              <w:pStyle w:val="24"/>
              <w:rPr>
                <w:rFonts w:hint="default" w:ascii="Times New Roman" w:hAnsi="Times New Roman" w:cs="Times New Roman"/>
                <w:sz w:val="21"/>
                <w:szCs w:val="21"/>
              </w:rPr>
            </w:pPr>
          </w:p>
        </w:tc>
      </w:tr>
    </w:tbl>
    <w:p w14:paraId="515448A3">
      <w:pPr>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8116"/>
      </w:tblGrid>
      <w:tr w14:paraId="4194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trPr>
        <w:tc>
          <w:tcPr>
            <w:tcW w:w="406" w:type="dxa"/>
            <w:vAlign w:val="top"/>
          </w:tcPr>
          <w:p w14:paraId="03A9B7E4">
            <w:pPr>
              <w:pStyle w:val="6"/>
              <w:rPr>
                <w:rFonts w:hint="eastAsia"/>
                <w:lang w:val="en-US" w:eastAsia="zh-CN"/>
              </w:rPr>
            </w:pPr>
          </w:p>
        </w:tc>
        <w:tc>
          <w:tcPr>
            <w:tcW w:w="8116" w:type="dxa"/>
            <w:vAlign w:val="top"/>
          </w:tcPr>
          <w:p w14:paraId="7C7D272F">
            <w:pPr>
              <w:spacing w:line="360" w:lineRule="auto"/>
              <w:ind w:left="0" w:leftChars="0" w:firstLine="0" w:firstLineChars="0"/>
              <w:rPr>
                <w:rFonts w:hint="default"/>
                <w:b/>
                <w:bCs/>
                <w:sz w:val="21"/>
                <w:szCs w:val="21"/>
                <w:lang w:val="en-US" w:eastAsia="zh-CN"/>
              </w:rPr>
            </w:pPr>
            <w:r>
              <w:rPr>
                <w:rFonts w:hint="eastAsia"/>
                <w:b/>
                <w:bCs/>
                <w:lang w:val="en-US" w:eastAsia="zh-CN"/>
              </w:rPr>
              <w:t>3.噪声</w:t>
            </w:r>
          </w:p>
          <w:p w14:paraId="10796382">
            <w:pPr>
              <w:spacing w:line="360" w:lineRule="auto"/>
              <w:ind w:firstLine="420" w:firstLineChars="200"/>
              <w:rPr>
                <w:rFonts w:hint="default" w:ascii="Times New Roman" w:hAnsi="Times New Roman" w:eastAsia="宋体" w:cs="Times New Roman"/>
                <w:color w:val="auto"/>
                <w:sz w:val="24"/>
                <w:szCs w:val="24"/>
                <w:lang w:val="en-US" w:eastAsia="zh-CN"/>
              </w:rPr>
            </w:pPr>
            <w:r>
              <w:rPr>
                <w:rFonts w:hint="eastAsia"/>
                <w:lang w:val="en-US" w:eastAsia="zh-CN"/>
              </w:rPr>
              <w:t>项目噪声主要来自于生产设备噪声与辅助设备发出的噪声，噪声源详情见下表4-12。</w:t>
            </w:r>
          </w:p>
          <w:p w14:paraId="399E7A4C">
            <w:pPr>
              <w:spacing w:line="360" w:lineRule="auto"/>
              <w:jc w:val="center"/>
              <w:rPr>
                <w:rFonts w:hint="default"/>
                <w:b/>
                <w:bCs/>
                <w:sz w:val="21"/>
                <w:szCs w:val="21"/>
                <w:highlight w:val="none"/>
                <w:lang w:val="en-US" w:eastAsia="zh-CN"/>
              </w:rPr>
            </w:pPr>
            <w:r>
              <w:rPr>
                <w:rFonts w:hint="eastAsia"/>
                <w:b/>
                <w:bCs/>
                <w:sz w:val="21"/>
                <w:szCs w:val="21"/>
                <w:highlight w:val="none"/>
                <w:lang w:val="en-US" w:eastAsia="zh-CN"/>
              </w:rPr>
              <w:t>表4-12  生产设施噪声情况一览表</w:t>
            </w:r>
          </w:p>
          <w:tbl>
            <w:tblPr>
              <w:tblStyle w:val="17"/>
              <w:tblW w:w="73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874"/>
              <w:gridCol w:w="1463"/>
              <w:gridCol w:w="1289"/>
              <w:gridCol w:w="1211"/>
              <w:gridCol w:w="1213"/>
            </w:tblGrid>
            <w:tr w14:paraId="343FD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46" w:type="dxa"/>
                  <w:tcBorders>
                    <w:tl2br w:val="nil"/>
                    <w:tr2bl w:val="nil"/>
                  </w:tcBorders>
                  <w:vAlign w:val="center"/>
                </w:tcPr>
                <w:p w14:paraId="1BF37456">
                  <w:pPr>
                    <w:pStyle w:val="11"/>
                    <w:ind w:left="0" w:leftChars="0" w:firstLine="0" w:firstLineChars="0"/>
                    <w:jc w:val="center"/>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生产设施名称</w:t>
                  </w:r>
                </w:p>
              </w:tc>
              <w:tc>
                <w:tcPr>
                  <w:tcW w:w="874" w:type="dxa"/>
                  <w:tcBorders>
                    <w:tl2br w:val="nil"/>
                    <w:tr2bl w:val="nil"/>
                  </w:tcBorders>
                  <w:vAlign w:val="center"/>
                </w:tcPr>
                <w:p w14:paraId="1DDD4DA6">
                  <w:pPr>
                    <w:pStyle w:val="11"/>
                    <w:ind w:left="0" w:leftChars="0" w:firstLine="0" w:firstLineChars="0"/>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数量</w:t>
                  </w:r>
                </w:p>
              </w:tc>
              <w:tc>
                <w:tcPr>
                  <w:tcW w:w="1463" w:type="dxa"/>
                  <w:tcBorders>
                    <w:tl2br w:val="nil"/>
                    <w:tr2bl w:val="nil"/>
                  </w:tcBorders>
                  <w:vAlign w:val="center"/>
                </w:tcPr>
                <w:p w14:paraId="556E94C6">
                  <w:pPr>
                    <w:pStyle w:val="11"/>
                    <w:ind w:left="0" w:leftChars="0" w:firstLine="0" w:firstLineChars="0"/>
                    <w:jc w:val="center"/>
                    <w:rPr>
                      <w:rFonts w:hint="eastAsia"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单台机械噪声级Leq[dB(A)]</w:t>
                  </w:r>
                </w:p>
              </w:tc>
              <w:tc>
                <w:tcPr>
                  <w:tcW w:w="1289" w:type="dxa"/>
                  <w:tcBorders>
                    <w:tl2br w:val="nil"/>
                    <w:tr2bl w:val="nil"/>
                  </w:tcBorders>
                  <w:vAlign w:val="center"/>
                </w:tcPr>
                <w:p w14:paraId="23425CA4">
                  <w:pPr>
                    <w:pStyle w:val="11"/>
                    <w:ind w:left="0" w:leftChars="0" w:firstLine="0" w:firstLineChars="0"/>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治理措施</w:t>
                  </w:r>
                </w:p>
              </w:tc>
              <w:tc>
                <w:tcPr>
                  <w:tcW w:w="1211" w:type="dxa"/>
                  <w:tcBorders>
                    <w:tl2br w:val="nil"/>
                    <w:tr2bl w:val="nil"/>
                  </w:tcBorders>
                  <w:vAlign w:val="center"/>
                </w:tcPr>
                <w:p w14:paraId="36054C06">
                  <w:pPr>
                    <w:pStyle w:val="11"/>
                    <w:ind w:left="0" w:leftChars="0" w:firstLine="0" w:firstLineChars="0"/>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治理后噪声值dB(A)</w:t>
                  </w:r>
                </w:p>
              </w:tc>
              <w:tc>
                <w:tcPr>
                  <w:tcW w:w="1213" w:type="dxa"/>
                  <w:tcBorders>
                    <w:tl2br w:val="nil"/>
                    <w:tr2bl w:val="nil"/>
                  </w:tcBorders>
                  <w:vAlign w:val="center"/>
                </w:tcPr>
                <w:p w14:paraId="579E1B24">
                  <w:pPr>
                    <w:pStyle w:val="11"/>
                    <w:ind w:left="0" w:leftChars="0" w:firstLine="0" w:firstLineChars="0"/>
                    <w:jc w:val="center"/>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持续时间（h）</w:t>
                  </w:r>
                </w:p>
              </w:tc>
            </w:tr>
            <w:tr w14:paraId="37764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057639D3">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断料机</w:t>
                  </w:r>
                </w:p>
              </w:tc>
              <w:tc>
                <w:tcPr>
                  <w:tcW w:w="874" w:type="dxa"/>
                  <w:tcBorders>
                    <w:tl2br w:val="nil"/>
                    <w:tr2bl w:val="nil"/>
                  </w:tcBorders>
                  <w:vAlign w:val="center"/>
                </w:tcPr>
                <w:p w14:paraId="7DFBB5F5">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5A9F7C89">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70-80</w:t>
                  </w:r>
                </w:p>
              </w:tc>
              <w:tc>
                <w:tcPr>
                  <w:tcW w:w="1289" w:type="dxa"/>
                  <w:vMerge w:val="restart"/>
                  <w:tcBorders>
                    <w:tl2br w:val="nil"/>
                    <w:tr2bl w:val="nil"/>
                  </w:tcBorders>
                  <w:vAlign w:val="center"/>
                </w:tcPr>
                <w:p w14:paraId="76F70696">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基础减震，厂房隔声</w:t>
                  </w:r>
                </w:p>
              </w:tc>
              <w:tc>
                <w:tcPr>
                  <w:tcW w:w="1211" w:type="dxa"/>
                  <w:tcBorders>
                    <w:tl2br w:val="nil"/>
                    <w:tr2bl w:val="nil"/>
                  </w:tcBorders>
                  <w:vAlign w:val="center"/>
                </w:tcPr>
                <w:p w14:paraId="3C6AAB71">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60-70</w:t>
                  </w:r>
                </w:p>
              </w:tc>
              <w:tc>
                <w:tcPr>
                  <w:tcW w:w="1213" w:type="dxa"/>
                  <w:tcBorders>
                    <w:tl2br w:val="nil"/>
                    <w:tr2bl w:val="nil"/>
                  </w:tcBorders>
                  <w:vAlign w:val="center"/>
                </w:tcPr>
                <w:p w14:paraId="2CA315E7">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3ED8E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7DC58F97">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单片锯</w:t>
                  </w:r>
                </w:p>
              </w:tc>
              <w:tc>
                <w:tcPr>
                  <w:tcW w:w="874" w:type="dxa"/>
                  <w:tcBorders>
                    <w:tl2br w:val="nil"/>
                    <w:tr2bl w:val="nil"/>
                  </w:tcBorders>
                  <w:vAlign w:val="center"/>
                </w:tcPr>
                <w:p w14:paraId="0AC1047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18C2362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7C94F639">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397E07A5">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4C4C70F9">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475D5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5B43CF7F">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精切锯</w:t>
                  </w:r>
                </w:p>
              </w:tc>
              <w:tc>
                <w:tcPr>
                  <w:tcW w:w="874" w:type="dxa"/>
                  <w:tcBorders>
                    <w:tl2br w:val="nil"/>
                    <w:tr2bl w:val="nil"/>
                  </w:tcBorders>
                  <w:vAlign w:val="center"/>
                </w:tcPr>
                <w:p w14:paraId="3AD15BE2">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1463" w:type="dxa"/>
                  <w:tcBorders>
                    <w:tl2br w:val="nil"/>
                    <w:tr2bl w:val="nil"/>
                  </w:tcBorders>
                  <w:vAlign w:val="center"/>
                </w:tcPr>
                <w:p w14:paraId="70334B0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6B8B2B04">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7E080CCD">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5325F107">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1A022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501D6E02">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纵向带锯</w:t>
                  </w:r>
                </w:p>
              </w:tc>
              <w:tc>
                <w:tcPr>
                  <w:tcW w:w="874" w:type="dxa"/>
                  <w:tcBorders>
                    <w:tl2br w:val="nil"/>
                    <w:tr2bl w:val="nil"/>
                  </w:tcBorders>
                  <w:vAlign w:val="center"/>
                </w:tcPr>
                <w:p w14:paraId="5992198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2E5A4248">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70-80</w:t>
                  </w:r>
                </w:p>
              </w:tc>
              <w:tc>
                <w:tcPr>
                  <w:tcW w:w="1289" w:type="dxa"/>
                  <w:vMerge w:val="continue"/>
                  <w:tcBorders>
                    <w:tl2br w:val="nil"/>
                    <w:tr2bl w:val="nil"/>
                  </w:tcBorders>
                  <w:vAlign w:val="center"/>
                </w:tcPr>
                <w:p w14:paraId="1A27038B">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3470E22B">
                  <w:pPr>
                    <w:pStyle w:val="5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6</w:t>
                  </w:r>
                  <w:r>
                    <w:rPr>
                      <w:sz w:val="18"/>
                      <w:szCs w:val="18"/>
                    </w:rPr>
                    <w:t>0-</w:t>
                  </w:r>
                  <w:r>
                    <w:rPr>
                      <w:rFonts w:hint="eastAsia"/>
                      <w:sz w:val="18"/>
                      <w:szCs w:val="18"/>
                      <w:lang w:val="en-US" w:eastAsia="zh-CN"/>
                    </w:rPr>
                    <w:t>6</w:t>
                  </w:r>
                  <w:r>
                    <w:rPr>
                      <w:sz w:val="18"/>
                      <w:szCs w:val="18"/>
                    </w:rPr>
                    <w:t>5</w:t>
                  </w:r>
                </w:p>
              </w:tc>
              <w:tc>
                <w:tcPr>
                  <w:tcW w:w="1213" w:type="dxa"/>
                  <w:tcBorders>
                    <w:tl2br w:val="nil"/>
                    <w:tr2bl w:val="nil"/>
                  </w:tcBorders>
                  <w:vAlign w:val="center"/>
                </w:tcPr>
                <w:p w14:paraId="3CFA05FC">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3F8E1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603100D5">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数控机</w:t>
                  </w:r>
                </w:p>
              </w:tc>
              <w:tc>
                <w:tcPr>
                  <w:tcW w:w="874" w:type="dxa"/>
                  <w:tcBorders>
                    <w:tl2br w:val="nil"/>
                    <w:tr2bl w:val="nil"/>
                  </w:tcBorders>
                  <w:vAlign w:val="center"/>
                </w:tcPr>
                <w:p w14:paraId="5125F71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5562366B">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65-75</w:t>
                  </w:r>
                </w:p>
              </w:tc>
              <w:tc>
                <w:tcPr>
                  <w:tcW w:w="1289" w:type="dxa"/>
                  <w:vMerge w:val="continue"/>
                  <w:tcBorders>
                    <w:tl2br w:val="nil"/>
                    <w:tr2bl w:val="nil"/>
                  </w:tcBorders>
                  <w:vAlign w:val="center"/>
                </w:tcPr>
                <w:p w14:paraId="136E0C2A">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0CDCD2F5">
                  <w:pPr>
                    <w:pStyle w:val="5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55</w:t>
                  </w:r>
                  <w:r>
                    <w:rPr>
                      <w:sz w:val="18"/>
                      <w:szCs w:val="18"/>
                    </w:rPr>
                    <w:t>-</w:t>
                  </w:r>
                  <w:r>
                    <w:rPr>
                      <w:rFonts w:hint="eastAsia"/>
                      <w:sz w:val="18"/>
                      <w:szCs w:val="18"/>
                      <w:lang w:val="en-US" w:eastAsia="zh-CN"/>
                    </w:rPr>
                    <w:t>6</w:t>
                  </w:r>
                  <w:r>
                    <w:rPr>
                      <w:sz w:val="18"/>
                      <w:szCs w:val="18"/>
                    </w:rPr>
                    <w:t>5</w:t>
                  </w:r>
                </w:p>
              </w:tc>
              <w:tc>
                <w:tcPr>
                  <w:tcW w:w="1213" w:type="dxa"/>
                  <w:tcBorders>
                    <w:tl2br w:val="nil"/>
                    <w:tr2bl w:val="nil"/>
                  </w:tcBorders>
                  <w:vAlign w:val="center"/>
                </w:tcPr>
                <w:p w14:paraId="615768D0">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13A5B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05B530D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四面创光机</w:t>
                  </w:r>
                </w:p>
              </w:tc>
              <w:tc>
                <w:tcPr>
                  <w:tcW w:w="874" w:type="dxa"/>
                  <w:tcBorders>
                    <w:tl2br w:val="nil"/>
                    <w:tr2bl w:val="nil"/>
                  </w:tcBorders>
                  <w:vAlign w:val="center"/>
                </w:tcPr>
                <w:p w14:paraId="49743A01">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6C8838B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65-75</w:t>
                  </w:r>
                </w:p>
              </w:tc>
              <w:tc>
                <w:tcPr>
                  <w:tcW w:w="1289" w:type="dxa"/>
                  <w:vMerge w:val="continue"/>
                  <w:tcBorders>
                    <w:tl2br w:val="nil"/>
                    <w:tr2bl w:val="nil"/>
                  </w:tcBorders>
                  <w:vAlign w:val="center"/>
                </w:tcPr>
                <w:p w14:paraId="304F6B45">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7C07A87F">
                  <w:pPr>
                    <w:pStyle w:val="5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55</w:t>
                  </w:r>
                  <w:r>
                    <w:rPr>
                      <w:sz w:val="18"/>
                      <w:szCs w:val="18"/>
                    </w:rPr>
                    <w:t>-</w:t>
                  </w:r>
                  <w:r>
                    <w:rPr>
                      <w:rFonts w:hint="eastAsia"/>
                      <w:sz w:val="18"/>
                      <w:szCs w:val="18"/>
                      <w:lang w:val="en-US" w:eastAsia="zh-CN"/>
                    </w:rPr>
                    <w:t>6</w:t>
                  </w:r>
                  <w:r>
                    <w:rPr>
                      <w:sz w:val="18"/>
                      <w:szCs w:val="18"/>
                    </w:rPr>
                    <w:t>5</w:t>
                  </w:r>
                </w:p>
              </w:tc>
              <w:tc>
                <w:tcPr>
                  <w:tcW w:w="1213" w:type="dxa"/>
                  <w:tcBorders>
                    <w:tl2br w:val="nil"/>
                    <w:tr2bl w:val="nil"/>
                  </w:tcBorders>
                  <w:vAlign w:val="center"/>
                </w:tcPr>
                <w:p w14:paraId="2EEDD4CF">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08794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18F1757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仿型机</w:t>
                  </w:r>
                </w:p>
              </w:tc>
              <w:tc>
                <w:tcPr>
                  <w:tcW w:w="874" w:type="dxa"/>
                  <w:tcBorders>
                    <w:tl2br w:val="nil"/>
                    <w:tr2bl w:val="nil"/>
                  </w:tcBorders>
                  <w:vAlign w:val="center"/>
                </w:tcPr>
                <w:p w14:paraId="6B0AC09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32EF65C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60-70</w:t>
                  </w:r>
                </w:p>
              </w:tc>
              <w:tc>
                <w:tcPr>
                  <w:tcW w:w="1289" w:type="dxa"/>
                  <w:vMerge w:val="continue"/>
                  <w:tcBorders>
                    <w:tl2br w:val="nil"/>
                    <w:tr2bl w:val="nil"/>
                  </w:tcBorders>
                  <w:vAlign w:val="center"/>
                </w:tcPr>
                <w:p w14:paraId="1D086D90">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65B09089">
                  <w:pPr>
                    <w:pStyle w:val="5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50</w:t>
                  </w:r>
                  <w:r>
                    <w:rPr>
                      <w:sz w:val="18"/>
                      <w:szCs w:val="18"/>
                    </w:rPr>
                    <w:t>-</w:t>
                  </w:r>
                  <w:r>
                    <w:rPr>
                      <w:rFonts w:hint="eastAsia"/>
                      <w:sz w:val="18"/>
                      <w:szCs w:val="18"/>
                      <w:lang w:val="en-US" w:eastAsia="zh-CN"/>
                    </w:rPr>
                    <w:t>60</w:t>
                  </w:r>
                </w:p>
              </w:tc>
              <w:tc>
                <w:tcPr>
                  <w:tcW w:w="1213" w:type="dxa"/>
                  <w:tcBorders>
                    <w:tl2br w:val="nil"/>
                    <w:tr2bl w:val="nil"/>
                  </w:tcBorders>
                  <w:vAlign w:val="center"/>
                </w:tcPr>
                <w:p w14:paraId="794047A3">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1AA7E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31AABBF8">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平创机</w:t>
                  </w:r>
                </w:p>
              </w:tc>
              <w:tc>
                <w:tcPr>
                  <w:tcW w:w="874" w:type="dxa"/>
                  <w:tcBorders>
                    <w:tl2br w:val="nil"/>
                    <w:tr2bl w:val="nil"/>
                  </w:tcBorders>
                  <w:vAlign w:val="center"/>
                </w:tcPr>
                <w:p w14:paraId="19DE7B05">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2D36948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70-80</w:t>
                  </w:r>
                </w:p>
              </w:tc>
              <w:tc>
                <w:tcPr>
                  <w:tcW w:w="1289" w:type="dxa"/>
                  <w:vMerge w:val="continue"/>
                  <w:tcBorders>
                    <w:tl2br w:val="nil"/>
                    <w:tr2bl w:val="nil"/>
                  </w:tcBorders>
                  <w:vAlign w:val="center"/>
                </w:tcPr>
                <w:p w14:paraId="2507AC5C">
                  <w:pPr>
                    <w:pStyle w:val="35"/>
                    <w:tabs>
                      <w:tab w:val="left" w:pos="940"/>
                    </w:tabs>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7F28DAF4">
                  <w:pPr>
                    <w:pStyle w:val="5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6</w:t>
                  </w:r>
                  <w:r>
                    <w:rPr>
                      <w:sz w:val="18"/>
                      <w:szCs w:val="18"/>
                    </w:rPr>
                    <w:t>0-</w:t>
                  </w:r>
                  <w:r>
                    <w:rPr>
                      <w:rFonts w:hint="eastAsia"/>
                      <w:sz w:val="18"/>
                      <w:szCs w:val="18"/>
                      <w:lang w:val="en-US" w:eastAsia="zh-CN"/>
                    </w:rPr>
                    <w:t>7</w:t>
                  </w:r>
                  <w:r>
                    <w:rPr>
                      <w:sz w:val="18"/>
                      <w:szCs w:val="18"/>
                    </w:rPr>
                    <w:t>0</w:t>
                  </w:r>
                </w:p>
              </w:tc>
              <w:tc>
                <w:tcPr>
                  <w:tcW w:w="1213" w:type="dxa"/>
                  <w:tcBorders>
                    <w:tl2br w:val="nil"/>
                    <w:tr2bl w:val="nil"/>
                  </w:tcBorders>
                  <w:vAlign w:val="center"/>
                </w:tcPr>
                <w:p w14:paraId="7DD3033D">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72CEC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4811077E">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拼板机</w:t>
                  </w:r>
                </w:p>
              </w:tc>
              <w:tc>
                <w:tcPr>
                  <w:tcW w:w="874" w:type="dxa"/>
                  <w:tcBorders>
                    <w:tl2br w:val="nil"/>
                    <w:tr2bl w:val="nil"/>
                  </w:tcBorders>
                  <w:vAlign w:val="center"/>
                </w:tcPr>
                <w:p w14:paraId="5861D76F">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237FCD8E">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70-80</w:t>
                  </w:r>
                </w:p>
              </w:tc>
              <w:tc>
                <w:tcPr>
                  <w:tcW w:w="1289" w:type="dxa"/>
                  <w:vMerge w:val="continue"/>
                  <w:tcBorders>
                    <w:tl2br w:val="nil"/>
                    <w:tr2bl w:val="nil"/>
                  </w:tcBorders>
                  <w:vAlign w:val="center"/>
                </w:tcPr>
                <w:p w14:paraId="67EE9B4B">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128AA0E7">
                  <w:pPr>
                    <w:pStyle w:val="5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sz w:val="18"/>
                      <w:szCs w:val="18"/>
                      <w:lang w:val="en-US" w:eastAsia="zh-CN"/>
                    </w:rPr>
                    <w:t>6</w:t>
                  </w:r>
                  <w:r>
                    <w:rPr>
                      <w:sz w:val="18"/>
                      <w:szCs w:val="18"/>
                    </w:rPr>
                    <w:t>0-</w:t>
                  </w:r>
                  <w:r>
                    <w:rPr>
                      <w:rFonts w:hint="eastAsia"/>
                      <w:sz w:val="18"/>
                      <w:szCs w:val="18"/>
                      <w:lang w:val="en-US" w:eastAsia="zh-CN"/>
                    </w:rPr>
                    <w:t>65</w:t>
                  </w:r>
                </w:p>
              </w:tc>
              <w:tc>
                <w:tcPr>
                  <w:tcW w:w="1213" w:type="dxa"/>
                  <w:tcBorders>
                    <w:tl2br w:val="nil"/>
                    <w:tr2bl w:val="nil"/>
                  </w:tcBorders>
                  <w:vAlign w:val="center"/>
                </w:tcPr>
                <w:p w14:paraId="03E17C11">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6C810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599C28E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压创机</w:t>
                  </w:r>
                </w:p>
              </w:tc>
              <w:tc>
                <w:tcPr>
                  <w:tcW w:w="874" w:type="dxa"/>
                  <w:tcBorders>
                    <w:tl2br w:val="nil"/>
                    <w:tr2bl w:val="nil"/>
                  </w:tcBorders>
                  <w:vAlign w:val="center"/>
                </w:tcPr>
                <w:p w14:paraId="1961FDD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18FC8E4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44373827">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783B9F61">
                  <w:pPr>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59D45C8F">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29D43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763DF78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砂光机</w:t>
                  </w:r>
                </w:p>
              </w:tc>
              <w:tc>
                <w:tcPr>
                  <w:tcW w:w="874" w:type="dxa"/>
                  <w:tcBorders>
                    <w:tl2br w:val="nil"/>
                    <w:tr2bl w:val="nil"/>
                  </w:tcBorders>
                  <w:vAlign w:val="center"/>
                </w:tcPr>
                <w:p w14:paraId="790F1A8B">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1F733D75">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5F3917C3">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6F2E73D9">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2D7C6633">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5431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67BD7B2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精雕机</w:t>
                  </w:r>
                </w:p>
              </w:tc>
              <w:tc>
                <w:tcPr>
                  <w:tcW w:w="874" w:type="dxa"/>
                  <w:tcBorders>
                    <w:tl2br w:val="nil"/>
                    <w:tr2bl w:val="nil"/>
                  </w:tcBorders>
                  <w:vAlign w:val="center"/>
                </w:tcPr>
                <w:p w14:paraId="3E91D949">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519668E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203626CE">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30661CC2">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3458B673">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6EC58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6282EE15">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五叠锯</w:t>
                  </w:r>
                </w:p>
              </w:tc>
              <w:tc>
                <w:tcPr>
                  <w:tcW w:w="874" w:type="dxa"/>
                  <w:tcBorders>
                    <w:tl2br w:val="nil"/>
                    <w:tr2bl w:val="nil"/>
                  </w:tcBorders>
                  <w:vAlign w:val="center"/>
                </w:tcPr>
                <w:p w14:paraId="124F5827">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c>
                <w:tcPr>
                  <w:tcW w:w="1463" w:type="dxa"/>
                  <w:tcBorders>
                    <w:tl2br w:val="nil"/>
                    <w:tr2bl w:val="nil"/>
                  </w:tcBorders>
                  <w:vAlign w:val="center"/>
                </w:tcPr>
                <w:p w14:paraId="7E63827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70-80</w:t>
                  </w:r>
                </w:p>
              </w:tc>
              <w:tc>
                <w:tcPr>
                  <w:tcW w:w="1289" w:type="dxa"/>
                  <w:vMerge w:val="continue"/>
                  <w:tcBorders>
                    <w:tl2br w:val="nil"/>
                    <w:tr2bl w:val="nil"/>
                  </w:tcBorders>
                  <w:vAlign w:val="center"/>
                </w:tcPr>
                <w:p w14:paraId="66F5EBA8">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5AF79745">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60-70</w:t>
                  </w:r>
                </w:p>
              </w:tc>
              <w:tc>
                <w:tcPr>
                  <w:tcW w:w="1213" w:type="dxa"/>
                  <w:tcBorders>
                    <w:tl2br w:val="nil"/>
                    <w:tr2bl w:val="nil"/>
                  </w:tcBorders>
                  <w:vAlign w:val="center"/>
                </w:tcPr>
                <w:p w14:paraId="1A0151D7">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2FAFE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1ECB885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立铣机</w:t>
                  </w:r>
                </w:p>
              </w:tc>
              <w:tc>
                <w:tcPr>
                  <w:tcW w:w="874" w:type="dxa"/>
                  <w:tcBorders>
                    <w:tl2br w:val="nil"/>
                    <w:tr2bl w:val="nil"/>
                  </w:tcBorders>
                  <w:vAlign w:val="center"/>
                </w:tcPr>
                <w:p w14:paraId="34846DF1">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c>
                <w:tcPr>
                  <w:tcW w:w="1463" w:type="dxa"/>
                  <w:tcBorders>
                    <w:tl2br w:val="nil"/>
                    <w:tr2bl w:val="nil"/>
                  </w:tcBorders>
                  <w:vAlign w:val="center"/>
                </w:tcPr>
                <w:p w14:paraId="0C833D2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33092A99">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0274F0F1">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6DEA8736">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0E06C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1F075C61">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小锣机</w:t>
                  </w:r>
                </w:p>
              </w:tc>
              <w:tc>
                <w:tcPr>
                  <w:tcW w:w="874" w:type="dxa"/>
                  <w:tcBorders>
                    <w:tl2br w:val="nil"/>
                    <w:tr2bl w:val="nil"/>
                  </w:tcBorders>
                  <w:vAlign w:val="center"/>
                </w:tcPr>
                <w:p w14:paraId="7339C19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1463" w:type="dxa"/>
                  <w:tcBorders>
                    <w:tl2br w:val="nil"/>
                    <w:tr2bl w:val="nil"/>
                  </w:tcBorders>
                  <w:vAlign w:val="center"/>
                </w:tcPr>
                <w:p w14:paraId="4B43FAF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5B4280E8">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0839D16A">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64763E1B">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45049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54DF27B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大锣机</w:t>
                  </w:r>
                </w:p>
              </w:tc>
              <w:tc>
                <w:tcPr>
                  <w:tcW w:w="874" w:type="dxa"/>
                  <w:tcBorders>
                    <w:tl2br w:val="nil"/>
                    <w:tr2bl w:val="nil"/>
                  </w:tcBorders>
                  <w:vAlign w:val="center"/>
                </w:tcPr>
                <w:p w14:paraId="08A6AAC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4FC0567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5DE9EBA9">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5540A538">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22AE166C">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28D15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7E381037">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燕尾榫机</w:t>
                  </w:r>
                </w:p>
              </w:tc>
              <w:tc>
                <w:tcPr>
                  <w:tcW w:w="874" w:type="dxa"/>
                  <w:tcBorders>
                    <w:tl2br w:val="nil"/>
                    <w:tr2bl w:val="nil"/>
                  </w:tcBorders>
                  <w:vAlign w:val="center"/>
                </w:tcPr>
                <w:p w14:paraId="5849C37F">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430E6659">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569567A7">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61F1B02A">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67BE905E">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2F2CA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38A6E5C3">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单头出榫机</w:t>
                  </w:r>
                </w:p>
              </w:tc>
              <w:tc>
                <w:tcPr>
                  <w:tcW w:w="874" w:type="dxa"/>
                  <w:tcBorders>
                    <w:tl2br w:val="nil"/>
                    <w:tr2bl w:val="nil"/>
                  </w:tcBorders>
                  <w:vAlign w:val="center"/>
                </w:tcPr>
                <w:p w14:paraId="7913D5A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7FE1C468">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0D2DC60C">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1A2DF41E">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328D7D1E">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12B00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51A2287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打眼机</w:t>
                  </w:r>
                </w:p>
              </w:tc>
              <w:tc>
                <w:tcPr>
                  <w:tcW w:w="874" w:type="dxa"/>
                  <w:tcBorders>
                    <w:tl2br w:val="nil"/>
                    <w:tr2bl w:val="nil"/>
                  </w:tcBorders>
                  <w:vAlign w:val="center"/>
                </w:tcPr>
                <w:p w14:paraId="516E2D6D">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7B34935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44B39B8F">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68BF8583">
                  <w:pPr>
                    <w:spacing w:line="240" w:lineRule="auto"/>
                    <w:ind w:left="0" w:leftChars="0" w:firstLine="0" w:firstLineChars="0"/>
                    <w:jc w:val="center"/>
                    <w:rPr>
                      <w:rFonts w:hint="eastAsia"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6B69AD5E">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358F9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6F884CC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手动打眼机</w:t>
                  </w:r>
                </w:p>
              </w:tc>
              <w:tc>
                <w:tcPr>
                  <w:tcW w:w="874" w:type="dxa"/>
                  <w:tcBorders>
                    <w:tl2br w:val="nil"/>
                    <w:tr2bl w:val="nil"/>
                  </w:tcBorders>
                  <w:vAlign w:val="center"/>
                </w:tcPr>
                <w:p w14:paraId="5E93CA9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0BBDA49D">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444283DC">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7F9A2FE1">
                  <w:pPr>
                    <w:spacing w:line="240" w:lineRule="auto"/>
                    <w:ind w:left="0" w:leftChars="0" w:firstLine="0" w:firstLineChars="0"/>
                    <w:jc w:val="center"/>
                    <w:rPr>
                      <w:rFonts w:hint="default" w:ascii="Times New Roman" w:eastAsia="宋体" w:cs="Times New Roman"/>
                      <w:color w:val="auto"/>
                      <w:sz w:val="18"/>
                      <w:szCs w:val="18"/>
                      <w:lang w:val="en-US" w:eastAsia="zh-CN"/>
                    </w:rPr>
                  </w:pPr>
                  <w:r>
                    <w:rPr>
                      <w:rFonts w:hint="eastAsia"/>
                      <w:sz w:val="18"/>
                      <w:szCs w:val="18"/>
                      <w:lang w:val="en-US" w:eastAsia="zh-CN"/>
                    </w:rPr>
                    <w:t>6</w:t>
                  </w:r>
                  <w:r>
                    <w:rPr>
                      <w:sz w:val="18"/>
                      <w:szCs w:val="18"/>
                    </w:rPr>
                    <w:t>0-</w:t>
                  </w:r>
                  <w:r>
                    <w:rPr>
                      <w:rFonts w:hint="eastAsia"/>
                      <w:sz w:val="18"/>
                      <w:szCs w:val="18"/>
                      <w:lang w:val="en-US" w:eastAsia="zh-CN"/>
                    </w:rPr>
                    <w:t>65</w:t>
                  </w:r>
                </w:p>
              </w:tc>
              <w:tc>
                <w:tcPr>
                  <w:tcW w:w="1213" w:type="dxa"/>
                  <w:tcBorders>
                    <w:tl2br w:val="nil"/>
                    <w:tr2bl w:val="nil"/>
                  </w:tcBorders>
                  <w:vAlign w:val="center"/>
                </w:tcPr>
                <w:p w14:paraId="7F3A825F">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511D5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53C46C0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螺杆空压机</w:t>
                  </w:r>
                </w:p>
              </w:tc>
              <w:tc>
                <w:tcPr>
                  <w:tcW w:w="874" w:type="dxa"/>
                  <w:tcBorders>
                    <w:tl2br w:val="nil"/>
                    <w:tr2bl w:val="nil"/>
                  </w:tcBorders>
                  <w:vAlign w:val="center"/>
                </w:tcPr>
                <w:p w14:paraId="6E62CF1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6EC703F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70-80</w:t>
                  </w:r>
                </w:p>
              </w:tc>
              <w:tc>
                <w:tcPr>
                  <w:tcW w:w="1289" w:type="dxa"/>
                  <w:vMerge w:val="continue"/>
                  <w:tcBorders>
                    <w:tl2br w:val="nil"/>
                    <w:tr2bl w:val="nil"/>
                  </w:tcBorders>
                  <w:vAlign w:val="center"/>
                </w:tcPr>
                <w:p w14:paraId="2ED4DA5C">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4435E74A">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sz w:val="18"/>
                      <w:szCs w:val="18"/>
                      <w:lang w:val="en-US" w:eastAsia="zh-CN"/>
                    </w:rPr>
                    <w:t>60</w:t>
                  </w:r>
                  <w:r>
                    <w:rPr>
                      <w:sz w:val="18"/>
                      <w:szCs w:val="18"/>
                    </w:rPr>
                    <w:t>-</w:t>
                  </w:r>
                  <w:r>
                    <w:rPr>
                      <w:rFonts w:hint="eastAsia"/>
                      <w:sz w:val="18"/>
                      <w:szCs w:val="18"/>
                      <w:lang w:val="en-US" w:eastAsia="zh-CN"/>
                    </w:rPr>
                    <w:t>7</w:t>
                  </w:r>
                  <w:r>
                    <w:rPr>
                      <w:sz w:val="18"/>
                      <w:szCs w:val="18"/>
                    </w:rPr>
                    <w:t>0</w:t>
                  </w:r>
                </w:p>
              </w:tc>
              <w:tc>
                <w:tcPr>
                  <w:tcW w:w="1213" w:type="dxa"/>
                  <w:tcBorders>
                    <w:tl2br w:val="nil"/>
                    <w:tr2bl w:val="nil"/>
                  </w:tcBorders>
                  <w:vAlign w:val="center"/>
                </w:tcPr>
                <w:p w14:paraId="34C81F99">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18010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386F9D86">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空气干燥机</w:t>
                  </w:r>
                </w:p>
              </w:tc>
              <w:tc>
                <w:tcPr>
                  <w:tcW w:w="874" w:type="dxa"/>
                  <w:tcBorders>
                    <w:tl2br w:val="nil"/>
                    <w:tr2bl w:val="nil"/>
                  </w:tcBorders>
                  <w:vAlign w:val="center"/>
                </w:tcPr>
                <w:p w14:paraId="53505F97">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31233B6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463D9C03">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24E693C2">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3647EFF5">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551A6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062E269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储气罐</w:t>
                  </w:r>
                </w:p>
              </w:tc>
              <w:tc>
                <w:tcPr>
                  <w:tcW w:w="874" w:type="dxa"/>
                  <w:tcBorders>
                    <w:tl2br w:val="nil"/>
                    <w:tr2bl w:val="nil"/>
                  </w:tcBorders>
                  <w:vAlign w:val="center"/>
                </w:tcPr>
                <w:p w14:paraId="21B577C5">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463" w:type="dxa"/>
                  <w:tcBorders>
                    <w:tl2br w:val="nil"/>
                    <w:tr2bl w:val="nil"/>
                  </w:tcBorders>
                  <w:vAlign w:val="center"/>
                </w:tcPr>
                <w:p w14:paraId="13DDFEF7">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162A5356">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35E921A7">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1081AEAB">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1EA39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744E154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双桶布袋吸尘</w:t>
                  </w:r>
                </w:p>
              </w:tc>
              <w:tc>
                <w:tcPr>
                  <w:tcW w:w="874" w:type="dxa"/>
                  <w:tcBorders>
                    <w:tl2br w:val="nil"/>
                    <w:tr2bl w:val="nil"/>
                  </w:tcBorders>
                  <w:vAlign w:val="center"/>
                </w:tcPr>
                <w:p w14:paraId="0F94CAED">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11</w:t>
                  </w:r>
                </w:p>
              </w:tc>
              <w:tc>
                <w:tcPr>
                  <w:tcW w:w="1463" w:type="dxa"/>
                  <w:tcBorders>
                    <w:tl2br w:val="nil"/>
                    <w:tr2bl w:val="nil"/>
                  </w:tcBorders>
                  <w:vAlign w:val="center"/>
                </w:tcPr>
                <w:p w14:paraId="0F575EB9">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70-75</w:t>
                  </w:r>
                </w:p>
              </w:tc>
              <w:tc>
                <w:tcPr>
                  <w:tcW w:w="1289" w:type="dxa"/>
                  <w:vMerge w:val="continue"/>
                  <w:tcBorders>
                    <w:tl2br w:val="nil"/>
                    <w:tr2bl w:val="nil"/>
                  </w:tcBorders>
                  <w:vAlign w:val="center"/>
                </w:tcPr>
                <w:p w14:paraId="298D2860">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0AA26B65">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ascii="Times New Roman" w:cs="Times New Roman"/>
                      <w:color w:val="auto"/>
                      <w:sz w:val="18"/>
                      <w:szCs w:val="18"/>
                      <w:lang w:val="en-US" w:eastAsia="zh-CN"/>
                    </w:rPr>
                    <w:t>60-65</w:t>
                  </w:r>
                </w:p>
              </w:tc>
              <w:tc>
                <w:tcPr>
                  <w:tcW w:w="1213" w:type="dxa"/>
                  <w:tcBorders>
                    <w:tl2br w:val="nil"/>
                    <w:tr2bl w:val="nil"/>
                  </w:tcBorders>
                  <w:vAlign w:val="center"/>
                </w:tcPr>
                <w:p w14:paraId="2A333E16">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7C75C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683BE95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吸尘器</w:t>
                  </w:r>
                </w:p>
              </w:tc>
              <w:tc>
                <w:tcPr>
                  <w:tcW w:w="874" w:type="dxa"/>
                  <w:tcBorders>
                    <w:tl2br w:val="nil"/>
                    <w:tr2bl w:val="nil"/>
                  </w:tcBorders>
                  <w:vAlign w:val="center"/>
                </w:tcPr>
                <w:p w14:paraId="7B91B3C0">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6764401D">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60-70</w:t>
                  </w:r>
                </w:p>
              </w:tc>
              <w:tc>
                <w:tcPr>
                  <w:tcW w:w="1289" w:type="dxa"/>
                  <w:vMerge w:val="continue"/>
                  <w:tcBorders>
                    <w:tl2br w:val="nil"/>
                    <w:tr2bl w:val="nil"/>
                  </w:tcBorders>
                  <w:vAlign w:val="center"/>
                </w:tcPr>
                <w:p w14:paraId="12DB64E9">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13F96B81">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sz w:val="18"/>
                      <w:szCs w:val="18"/>
                      <w:lang w:val="en-US" w:eastAsia="zh-CN"/>
                    </w:rPr>
                    <w:t>50</w:t>
                  </w:r>
                  <w:r>
                    <w:rPr>
                      <w:rFonts w:hint="eastAsia"/>
                      <w:sz w:val="18"/>
                      <w:szCs w:val="18"/>
                    </w:rPr>
                    <w:t>-</w:t>
                  </w:r>
                  <w:r>
                    <w:rPr>
                      <w:rFonts w:hint="eastAsia"/>
                      <w:sz w:val="18"/>
                      <w:szCs w:val="18"/>
                      <w:lang w:val="en-US" w:eastAsia="zh-CN"/>
                    </w:rPr>
                    <w:t>60</w:t>
                  </w:r>
                </w:p>
              </w:tc>
              <w:tc>
                <w:tcPr>
                  <w:tcW w:w="1213" w:type="dxa"/>
                  <w:tcBorders>
                    <w:tl2br w:val="nil"/>
                    <w:tr2bl w:val="nil"/>
                  </w:tcBorders>
                  <w:vAlign w:val="center"/>
                </w:tcPr>
                <w:p w14:paraId="01F18E9C">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3A716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2D4BC87E">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水帘喷漆房</w:t>
                  </w:r>
                </w:p>
              </w:tc>
              <w:tc>
                <w:tcPr>
                  <w:tcW w:w="874" w:type="dxa"/>
                  <w:tcBorders>
                    <w:tl2br w:val="nil"/>
                    <w:tr2bl w:val="nil"/>
                  </w:tcBorders>
                  <w:vAlign w:val="center"/>
                </w:tcPr>
                <w:p w14:paraId="45021B8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463" w:type="dxa"/>
                  <w:tcBorders>
                    <w:tl2br w:val="nil"/>
                    <w:tr2bl w:val="nil"/>
                  </w:tcBorders>
                  <w:vAlign w:val="center"/>
                </w:tcPr>
                <w:p w14:paraId="75D7AAAA">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65-75</w:t>
                  </w:r>
                </w:p>
              </w:tc>
              <w:tc>
                <w:tcPr>
                  <w:tcW w:w="1289" w:type="dxa"/>
                  <w:vMerge w:val="continue"/>
                  <w:tcBorders>
                    <w:tl2br w:val="nil"/>
                    <w:tr2bl w:val="nil"/>
                  </w:tcBorders>
                  <w:vAlign w:val="center"/>
                </w:tcPr>
                <w:p w14:paraId="6B3B5CF9">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6C89760A">
                  <w:pPr>
                    <w:spacing w:line="240" w:lineRule="auto"/>
                    <w:ind w:left="0" w:leftChars="0" w:firstLine="0" w:firstLineChars="0"/>
                    <w:jc w:val="center"/>
                    <w:rPr>
                      <w:rFonts w:hint="eastAsia" w:ascii="Times New Roman" w:eastAsia="宋体" w:cs="Times New Roman"/>
                      <w:color w:val="auto"/>
                      <w:sz w:val="18"/>
                      <w:szCs w:val="18"/>
                      <w:lang w:val="en-US" w:eastAsia="zh-CN"/>
                    </w:rPr>
                  </w:pPr>
                  <w:r>
                    <w:rPr>
                      <w:rFonts w:hint="eastAsia"/>
                      <w:bCs/>
                      <w:sz w:val="18"/>
                      <w:szCs w:val="18"/>
                      <w:lang w:val="en-US" w:eastAsia="zh-CN"/>
                    </w:rPr>
                    <w:t>55</w:t>
                  </w:r>
                  <w:r>
                    <w:rPr>
                      <w:rFonts w:hint="eastAsia"/>
                      <w:bCs/>
                      <w:sz w:val="18"/>
                      <w:szCs w:val="18"/>
                    </w:rPr>
                    <w:t>-</w:t>
                  </w:r>
                  <w:r>
                    <w:rPr>
                      <w:rFonts w:hint="eastAsia"/>
                      <w:bCs/>
                      <w:sz w:val="18"/>
                      <w:szCs w:val="18"/>
                      <w:lang w:val="en-US" w:eastAsia="zh-CN"/>
                    </w:rPr>
                    <w:t>65</w:t>
                  </w:r>
                </w:p>
              </w:tc>
              <w:tc>
                <w:tcPr>
                  <w:tcW w:w="1213" w:type="dxa"/>
                  <w:tcBorders>
                    <w:tl2br w:val="nil"/>
                    <w:tr2bl w:val="nil"/>
                  </w:tcBorders>
                  <w:vAlign w:val="center"/>
                </w:tcPr>
                <w:p w14:paraId="3B6A5CE9">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r w14:paraId="79D3D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46" w:type="dxa"/>
                  <w:tcBorders>
                    <w:tl2br w:val="nil"/>
                    <w:tr2bl w:val="nil"/>
                  </w:tcBorders>
                  <w:vAlign w:val="center"/>
                </w:tcPr>
                <w:p w14:paraId="624D4514">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水帘吸尘</w:t>
                  </w:r>
                </w:p>
              </w:tc>
              <w:tc>
                <w:tcPr>
                  <w:tcW w:w="874" w:type="dxa"/>
                  <w:tcBorders>
                    <w:tl2br w:val="nil"/>
                    <w:tr2bl w:val="nil"/>
                  </w:tcBorders>
                  <w:vAlign w:val="center"/>
                </w:tcPr>
                <w:p w14:paraId="2828D87C">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w:t>
                  </w:r>
                </w:p>
              </w:tc>
              <w:tc>
                <w:tcPr>
                  <w:tcW w:w="1463" w:type="dxa"/>
                  <w:tcBorders>
                    <w:tl2br w:val="nil"/>
                    <w:tr2bl w:val="nil"/>
                  </w:tcBorders>
                  <w:vAlign w:val="center"/>
                </w:tcPr>
                <w:p w14:paraId="62ED6FA3">
                  <w:pPr>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65-75</w:t>
                  </w:r>
                </w:p>
              </w:tc>
              <w:tc>
                <w:tcPr>
                  <w:tcW w:w="1289" w:type="dxa"/>
                  <w:vMerge w:val="continue"/>
                  <w:tcBorders>
                    <w:tl2br w:val="nil"/>
                    <w:tr2bl w:val="nil"/>
                  </w:tcBorders>
                  <w:vAlign w:val="center"/>
                </w:tcPr>
                <w:p w14:paraId="398E63E9">
                  <w:pPr>
                    <w:pStyle w:val="35"/>
                    <w:tabs>
                      <w:tab w:val="left" w:pos="940"/>
                    </w:tabs>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p>
              </w:tc>
              <w:tc>
                <w:tcPr>
                  <w:tcW w:w="1211" w:type="dxa"/>
                  <w:tcBorders>
                    <w:tl2br w:val="nil"/>
                    <w:tr2bl w:val="nil"/>
                  </w:tcBorders>
                  <w:vAlign w:val="center"/>
                </w:tcPr>
                <w:p w14:paraId="6E130A19">
                  <w:pPr>
                    <w:spacing w:line="240" w:lineRule="auto"/>
                    <w:ind w:left="0" w:leftChars="0" w:firstLine="0" w:firstLineChars="0"/>
                    <w:jc w:val="center"/>
                    <w:rPr>
                      <w:rFonts w:hint="default" w:ascii="Times New Roman" w:cs="Times New Roman"/>
                      <w:color w:val="auto"/>
                      <w:sz w:val="18"/>
                      <w:szCs w:val="18"/>
                      <w:lang w:val="en-US" w:eastAsia="zh-CN"/>
                    </w:rPr>
                  </w:pPr>
                  <w:r>
                    <w:rPr>
                      <w:rFonts w:hint="eastAsia"/>
                      <w:sz w:val="18"/>
                      <w:szCs w:val="18"/>
                      <w:lang w:val="en-US" w:eastAsia="zh-CN"/>
                    </w:rPr>
                    <w:t>55</w:t>
                  </w:r>
                  <w:r>
                    <w:rPr>
                      <w:sz w:val="18"/>
                      <w:szCs w:val="18"/>
                    </w:rPr>
                    <w:t>-</w:t>
                  </w:r>
                  <w:r>
                    <w:rPr>
                      <w:rFonts w:hint="eastAsia"/>
                      <w:sz w:val="18"/>
                      <w:szCs w:val="18"/>
                      <w:lang w:val="en-US" w:eastAsia="zh-CN"/>
                    </w:rPr>
                    <w:t>65</w:t>
                  </w:r>
                </w:p>
              </w:tc>
              <w:tc>
                <w:tcPr>
                  <w:tcW w:w="1213" w:type="dxa"/>
                  <w:tcBorders>
                    <w:tl2br w:val="nil"/>
                    <w:tr2bl w:val="nil"/>
                  </w:tcBorders>
                  <w:vAlign w:val="center"/>
                </w:tcPr>
                <w:p w14:paraId="0DC4D3F7">
                  <w:pPr>
                    <w:spacing w:line="240" w:lineRule="auto"/>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2400</w:t>
                  </w:r>
                </w:p>
              </w:tc>
            </w:tr>
          </w:tbl>
          <w:p w14:paraId="750E6D97">
            <w:pPr>
              <w:wordWrap/>
              <w:spacing w:line="360" w:lineRule="auto"/>
              <w:ind w:firstLine="420" w:firstLineChars="200"/>
              <w:textAlignment w:val="auto"/>
              <w:rPr>
                <w:rFonts w:hint="default"/>
                <w:lang w:val="en-US" w:eastAsia="zh-CN"/>
              </w:rPr>
            </w:pPr>
            <w:r>
              <w:rPr>
                <w:rFonts w:hint="default"/>
                <w:lang w:val="en-US" w:eastAsia="zh-CN"/>
              </w:rPr>
              <w:t>建设项目噪声环境影响预测采用《环境影响评价技术导则 声环境》(HJ/T2.4-20</w:t>
            </w:r>
            <w:r>
              <w:rPr>
                <w:rFonts w:hint="eastAsia"/>
                <w:lang w:val="en-US" w:eastAsia="zh-CN"/>
              </w:rPr>
              <w:t>21</w:t>
            </w:r>
            <w:r>
              <w:rPr>
                <w:rFonts w:hint="default"/>
                <w:lang w:val="en-US" w:eastAsia="zh-CN"/>
              </w:rPr>
              <w:t>)推荐的</w:t>
            </w:r>
            <w:r>
              <w:rPr>
                <w:rFonts w:hint="eastAsia"/>
                <w:lang w:val="en-US" w:eastAsia="zh-CN"/>
              </w:rPr>
              <w:t>方法，</w:t>
            </w:r>
            <w:r>
              <w:rPr>
                <w:rFonts w:hint="eastAsia"/>
                <w:lang w:eastAsia="zh-CN"/>
              </w:rPr>
              <w:t>如果声源处于半自由声场，本次评价选用点声源衰减模式进行预测。预测模式为：</w:t>
            </w:r>
          </w:p>
          <w:p w14:paraId="78894540">
            <w:pPr>
              <w:wordWrap/>
              <w:spacing w:line="360" w:lineRule="auto"/>
              <w:ind w:firstLine="420" w:firstLineChars="200"/>
              <w:textAlignment w:val="auto"/>
              <w:rPr>
                <w:rFonts w:hint="default"/>
                <w:lang w:val="en-US" w:eastAsia="zh-CN"/>
              </w:rPr>
            </w:pPr>
            <w:r>
              <w:rPr>
                <w:rFonts w:hint="default"/>
                <w:lang w:val="en-US" w:eastAsia="zh-CN"/>
              </w:rPr>
              <w:t xml:space="preserve">LA(r)=LAW－20lgr－8 </w:t>
            </w:r>
          </w:p>
          <w:p w14:paraId="60658EEA">
            <w:pPr>
              <w:wordWrap/>
              <w:spacing w:line="360" w:lineRule="auto"/>
              <w:ind w:firstLine="420" w:firstLineChars="200"/>
              <w:textAlignment w:val="auto"/>
              <w:rPr>
                <w:rFonts w:hint="default"/>
                <w:lang w:val="en-US" w:eastAsia="zh-CN"/>
              </w:rPr>
            </w:pPr>
            <w:r>
              <w:rPr>
                <w:rFonts w:hint="default"/>
                <w:lang w:val="en-US" w:eastAsia="zh-CN"/>
              </w:rPr>
              <w:t xml:space="preserve">式中：LA(r)——距离 r 处的 A 声功率级，dB（A）； </w:t>
            </w:r>
          </w:p>
          <w:p w14:paraId="57AC2801">
            <w:pPr>
              <w:wordWrap/>
              <w:spacing w:line="360" w:lineRule="auto"/>
              <w:ind w:firstLine="420" w:firstLineChars="200"/>
              <w:textAlignment w:val="auto"/>
              <w:rPr>
                <w:rFonts w:hint="default"/>
                <w:lang w:val="en-US" w:eastAsia="zh-CN"/>
              </w:rPr>
            </w:pPr>
            <w:r>
              <w:rPr>
                <w:rFonts w:hint="default"/>
                <w:lang w:val="en-US" w:eastAsia="zh-CN"/>
              </w:rPr>
              <w:t>LAW——声源的 A 声功率级，dB（A）；</w:t>
            </w:r>
          </w:p>
          <w:p w14:paraId="7B76C5D9">
            <w:pPr>
              <w:wordWrap/>
              <w:spacing w:line="360" w:lineRule="auto"/>
              <w:ind w:firstLine="420" w:firstLineChars="200"/>
              <w:textAlignment w:val="auto"/>
              <w:rPr>
                <w:rFonts w:hint="default"/>
                <w:lang w:val="en-US" w:eastAsia="zh-CN"/>
              </w:rPr>
            </w:pPr>
            <w:r>
              <w:rPr>
                <w:rFonts w:hint="default"/>
                <w:lang w:val="en-US" w:eastAsia="zh-CN"/>
              </w:rPr>
              <w:t xml:space="preserve">r——声源至受点的距离，m。 </w:t>
            </w:r>
          </w:p>
          <w:p w14:paraId="0226718D">
            <w:pPr>
              <w:wordWrap/>
              <w:spacing w:line="360" w:lineRule="auto"/>
              <w:ind w:firstLine="420" w:firstLineChars="200"/>
              <w:textAlignment w:val="auto"/>
              <w:rPr>
                <w:rFonts w:hint="default"/>
                <w:lang w:val="en-US" w:eastAsia="zh-CN"/>
              </w:rPr>
            </w:pPr>
            <w:r>
              <w:rPr>
                <w:rFonts w:hint="eastAsia"/>
                <w:lang w:val="en-US" w:eastAsia="zh-CN"/>
              </w:rPr>
              <w:t>（1）</w:t>
            </w:r>
            <w:r>
              <w:rPr>
                <w:rFonts w:hint="default"/>
                <w:lang w:val="en-US" w:eastAsia="zh-CN"/>
              </w:rPr>
              <w:t xml:space="preserve">选择一个坐标系，确定建设单位各噪声源位置和预测点位置，并根据声源性质及预测点与声源之间的距离等情况，把声源简化。本项目把车间内设备简化为一个点声源，位于车间中部。 </w:t>
            </w:r>
          </w:p>
          <w:p w14:paraId="678814AE">
            <w:pPr>
              <w:wordWrap/>
              <w:spacing w:line="360" w:lineRule="auto"/>
              <w:ind w:firstLine="420" w:firstLineChars="200"/>
              <w:textAlignment w:val="auto"/>
              <w:rPr>
                <w:rFonts w:hint="default"/>
                <w:b w:val="0"/>
                <w:bCs w:val="0"/>
                <w:lang w:val="en-US" w:eastAsia="zh-CN"/>
              </w:rPr>
            </w:pPr>
            <w:r>
              <w:rPr>
                <w:rFonts w:hint="default"/>
                <w:b w:val="0"/>
                <w:bCs w:val="0"/>
                <w:lang w:val="en-US" w:eastAsia="zh-CN"/>
              </w:rPr>
              <w:t>（</w:t>
            </w:r>
            <w:r>
              <w:rPr>
                <w:rFonts w:hint="eastAsia"/>
                <w:b w:val="0"/>
                <w:bCs w:val="0"/>
                <w:lang w:val="en-US" w:eastAsia="zh-CN"/>
              </w:rPr>
              <w:t>2</w:t>
            </w:r>
            <w:r>
              <w:rPr>
                <w:rFonts w:hint="default"/>
                <w:b w:val="0"/>
                <w:bCs w:val="0"/>
                <w:lang w:val="en-US" w:eastAsia="zh-CN"/>
              </w:rPr>
              <w:t>）多声源叠加</w:t>
            </w:r>
          </w:p>
          <w:p w14:paraId="50FC5492">
            <w:pPr>
              <w:wordWrap/>
              <w:spacing w:line="360" w:lineRule="auto"/>
              <w:ind w:firstLine="420" w:firstLineChars="200"/>
              <w:textAlignment w:val="auto"/>
              <w:rPr>
                <w:rFonts w:hint="default"/>
                <w:lang w:val="en-US" w:eastAsia="zh-CN"/>
              </w:rPr>
            </w:pPr>
            <w:r>
              <w:rPr>
                <w:rFonts w:hint="default"/>
                <w:lang w:val="en-US" w:eastAsia="zh-CN"/>
              </w:rPr>
              <w:t>参考 HJ2034-2013《环境噪声与振动控制工程技术导则》，厂房（车间）内多个噪声源叠加的综合噪声计算公式如下：</w:t>
            </w:r>
          </w:p>
          <w:p w14:paraId="68550661">
            <w:pPr>
              <w:widowControl/>
              <w:numPr>
                <w:ilvl w:val="0"/>
                <w:numId w:val="0"/>
              </w:numPr>
              <w:wordWrap/>
              <w:adjustRightInd w:val="0"/>
              <w:snapToGrid w:val="0"/>
              <w:spacing w:after="0" w:line="360" w:lineRule="auto"/>
              <w:ind w:firstLine="420" w:firstLineChars="200"/>
              <w:jc w:val="both"/>
              <w:textAlignment w:val="auto"/>
              <w:rPr>
                <w:rFonts w:hint="default"/>
                <w:lang w:val="en-US" w:eastAsia="zh-CN"/>
              </w:rPr>
            </w:pPr>
          </w:p>
          <w:p w14:paraId="3EE89A09">
            <w:pPr>
              <w:widowControl/>
              <w:numPr>
                <w:ilvl w:val="0"/>
                <w:numId w:val="0"/>
              </w:numPr>
              <w:wordWrap/>
              <w:adjustRightInd w:val="0"/>
              <w:snapToGrid w:val="0"/>
              <w:spacing w:after="0" w:line="360" w:lineRule="auto"/>
              <w:ind w:firstLine="420" w:firstLineChars="200"/>
              <w:jc w:val="both"/>
              <w:textAlignment w:val="auto"/>
              <w:rPr>
                <w:rFonts w:hint="default"/>
                <w:lang w:val="en-US" w:eastAsia="zh-CN"/>
              </w:rPr>
            </w:pPr>
            <w:r>
              <w:rPr>
                <w:rFonts w:hint="default" w:ascii="Times New Roman" w:hAnsi="Times New Roman" w:eastAsia="宋体" w:cs="黑体"/>
                <w:kern w:val="2"/>
                <w:sz w:val="21"/>
                <w:szCs w:val="24"/>
                <w:lang w:val="en-US" w:eastAsia="zh-CN" w:bidi="ar-SA"/>
              </w:rPr>
              <w:drawing>
                <wp:anchor distT="0" distB="0" distL="114300" distR="114300" simplePos="0" relativeHeight="251661312" behindDoc="0" locked="0" layoutInCell="1" allowOverlap="1">
                  <wp:simplePos x="0" y="0"/>
                  <wp:positionH relativeFrom="column">
                    <wp:posOffset>266700</wp:posOffset>
                  </wp:positionH>
                  <wp:positionV relativeFrom="paragraph">
                    <wp:posOffset>-215900</wp:posOffset>
                  </wp:positionV>
                  <wp:extent cx="1262380" cy="419100"/>
                  <wp:effectExtent l="0" t="0" r="1397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lum/>
                          </a:blip>
                          <a:stretch>
                            <a:fillRect/>
                          </a:stretch>
                        </pic:blipFill>
                        <pic:spPr>
                          <a:xfrm>
                            <a:off x="0" y="0"/>
                            <a:ext cx="1262380" cy="419100"/>
                          </a:xfrm>
                          <a:prstGeom prst="rect">
                            <a:avLst/>
                          </a:prstGeom>
                          <a:noFill/>
                          <a:ln>
                            <a:noFill/>
                          </a:ln>
                        </pic:spPr>
                      </pic:pic>
                    </a:graphicData>
                  </a:graphic>
                </wp:anchor>
              </w:drawing>
            </w:r>
          </w:p>
          <w:p w14:paraId="0B49B2C6">
            <w:pPr>
              <w:wordWrap/>
              <w:spacing w:line="360" w:lineRule="auto"/>
              <w:ind w:firstLine="420" w:firstLineChars="200"/>
              <w:textAlignment w:val="auto"/>
              <w:rPr>
                <w:rFonts w:hint="default"/>
                <w:lang w:val="en-US" w:eastAsia="zh-CN"/>
              </w:rPr>
            </w:pPr>
            <w:r>
              <w:rPr>
                <w:rFonts w:hint="default"/>
                <w:lang w:val="en-US" w:eastAsia="zh-CN"/>
              </w:rPr>
              <w:t>式中：L—n 个噪声源的合成声压级，dB（A）；</w:t>
            </w:r>
          </w:p>
          <w:p w14:paraId="1116D246">
            <w:pPr>
              <w:wordWrap/>
              <w:spacing w:line="360" w:lineRule="auto"/>
              <w:ind w:firstLine="420" w:firstLineChars="200"/>
              <w:textAlignment w:val="auto"/>
              <w:rPr>
                <w:rFonts w:hint="default"/>
                <w:lang w:val="en-US" w:eastAsia="zh-CN"/>
              </w:rPr>
            </w:pPr>
            <w:r>
              <w:rPr>
                <w:rFonts w:hint="default"/>
                <w:lang w:val="en-US" w:eastAsia="zh-CN"/>
              </w:rPr>
              <w:t xml:space="preserve">Li—第 i 个噪声源至预测点处的声压级，dB（A）； </w:t>
            </w:r>
          </w:p>
          <w:p w14:paraId="63298EFB">
            <w:pPr>
              <w:wordWrap/>
              <w:spacing w:line="360" w:lineRule="auto"/>
              <w:ind w:firstLine="420" w:firstLineChars="200"/>
              <w:textAlignment w:val="auto"/>
              <w:rPr>
                <w:rFonts w:hint="default"/>
                <w:lang w:val="en-US" w:eastAsia="zh-CN"/>
              </w:rPr>
            </w:pPr>
            <w:r>
              <w:rPr>
                <w:rFonts w:hint="default"/>
                <w:lang w:val="en-US" w:eastAsia="zh-CN"/>
              </w:rPr>
              <w:t>N—噪声源的个数。</w:t>
            </w:r>
          </w:p>
          <w:p w14:paraId="6421CE30">
            <w:pPr>
              <w:wordWrap/>
              <w:spacing w:line="360" w:lineRule="auto"/>
              <w:ind w:firstLine="420" w:firstLineChars="200"/>
              <w:textAlignment w:val="auto"/>
              <w:rPr>
                <w:rFonts w:hint="default"/>
                <w:lang w:val="en-US" w:eastAsia="zh-CN"/>
              </w:rPr>
            </w:pPr>
            <w:r>
              <w:rPr>
                <w:rFonts w:hint="default"/>
                <w:lang w:val="en-US" w:eastAsia="zh-CN"/>
              </w:rPr>
              <w:t>本项目多声源叠加后中心声级为</w:t>
            </w:r>
            <w:r>
              <w:rPr>
                <w:rFonts w:hint="eastAsia"/>
                <w:lang w:val="en-US" w:eastAsia="zh-CN"/>
              </w:rPr>
              <w:t>73.51</w:t>
            </w:r>
            <w:r>
              <w:rPr>
                <w:rFonts w:hint="default"/>
                <w:lang w:val="en-US" w:eastAsia="zh-CN"/>
              </w:rPr>
              <w:t xml:space="preserve">dB（A）。 </w:t>
            </w:r>
          </w:p>
          <w:p w14:paraId="0AF4375B">
            <w:pPr>
              <w:numPr>
                <w:ilvl w:val="0"/>
                <w:numId w:val="0"/>
              </w:numPr>
              <w:wordWrap/>
              <w:spacing w:line="360" w:lineRule="auto"/>
              <w:ind w:firstLine="420" w:firstLineChars="200"/>
              <w:textAlignment w:val="auto"/>
              <w:rPr>
                <w:rFonts w:hint="default"/>
                <w:b w:val="0"/>
                <w:bCs w:val="0"/>
                <w:lang w:val="en-US" w:eastAsia="zh-CN"/>
              </w:rPr>
            </w:pPr>
            <w:r>
              <w:rPr>
                <w:rFonts w:hint="eastAsia"/>
                <w:b w:val="0"/>
                <w:bCs w:val="0"/>
                <w:lang w:val="en-US" w:eastAsia="zh-CN"/>
              </w:rPr>
              <w:t>（3）</w:t>
            </w:r>
            <w:r>
              <w:rPr>
                <w:rFonts w:hint="default"/>
                <w:b w:val="0"/>
                <w:bCs w:val="0"/>
                <w:lang w:val="en-US" w:eastAsia="zh-CN"/>
              </w:rPr>
              <w:t>预测结果及分析</w:t>
            </w:r>
          </w:p>
          <w:p w14:paraId="01701AD0">
            <w:pPr>
              <w:keepLines/>
              <w:wordWrap/>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lang w:val="en-US" w:eastAsia="zh-CN"/>
              </w:rPr>
              <w:t>在采取降噪措施情况下，只考虑距离衰减的情况下，设备噪声对厂界和敏感点的综合噪声影响预测结果如</w:t>
            </w:r>
            <w:r>
              <w:rPr>
                <w:rFonts w:hint="eastAsia"/>
                <w:lang w:val="en-US" w:eastAsia="zh-CN"/>
              </w:rPr>
              <w:t>下表。</w:t>
            </w:r>
          </w:p>
          <w:p w14:paraId="66804DD1">
            <w:pPr>
              <w:adjustRightInd w:val="0"/>
              <w:snapToGrid w:val="0"/>
              <w:spacing w:line="360" w:lineRule="auto"/>
              <w:ind w:firstLine="480"/>
              <w:jc w:val="center"/>
              <w:rPr>
                <w:rFonts w:hint="default" w:ascii="Times New Roman" w:hAnsi="Times New Roman" w:cs="Times New Roman"/>
                <w:b/>
                <w:bCs/>
                <w:color w:val="auto"/>
                <w:sz w:val="21"/>
                <w:szCs w:val="21"/>
              </w:rPr>
            </w:pPr>
            <w:r>
              <w:rPr>
                <w:rFonts w:hint="eastAsia"/>
                <w:b/>
                <w:bCs/>
                <w:lang w:val="en-US" w:eastAsia="zh-CN"/>
              </w:rPr>
              <w:t>表4-13  项目厂界噪声预测值</w:t>
            </w:r>
          </w:p>
          <w:tbl>
            <w:tblPr>
              <w:tblStyle w:val="17"/>
              <w:tblW w:w="7718" w:type="dxa"/>
              <w:tblInd w:w="85" w:type="dxa"/>
              <w:tblBorders>
                <w:top w:val="single" w:color="000000" w:sz="12" w:space="0"/>
                <w:left w:val="single" w:color="auto" w:sz="4"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353"/>
              <w:gridCol w:w="1784"/>
              <w:gridCol w:w="1464"/>
              <w:gridCol w:w="1392"/>
            </w:tblGrid>
            <w:tr w14:paraId="569E3888">
              <w:tblPrEx>
                <w:tblBorders>
                  <w:top w:val="single" w:color="000000" w:sz="12" w:space="0"/>
                  <w:left w:val="single" w:color="auto" w:sz="4"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725" w:type="dxa"/>
                  <w:tcBorders>
                    <w:left w:val="nil"/>
                  </w:tcBorders>
                  <w:vAlign w:val="center"/>
                </w:tcPr>
                <w:p w14:paraId="2D003B3E">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名称</w:t>
                  </w:r>
                </w:p>
              </w:tc>
              <w:tc>
                <w:tcPr>
                  <w:tcW w:w="1353" w:type="dxa"/>
                  <w:vAlign w:val="center"/>
                </w:tcPr>
                <w:p w14:paraId="1A6D1C9E">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衰减距离m</w:t>
                  </w:r>
                </w:p>
              </w:tc>
              <w:tc>
                <w:tcPr>
                  <w:tcW w:w="1784" w:type="dxa"/>
                  <w:vAlign w:val="center"/>
                </w:tcPr>
                <w:p w14:paraId="756DFE24">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衰减后设备噪声的贡献值dB(A)</w:t>
                  </w:r>
                </w:p>
              </w:tc>
              <w:tc>
                <w:tcPr>
                  <w:tcW w:w="1464" w:type="dxa"/>
                  <w:vAlign w:val="center"/>
                </w:tcPr>
                <w:p w14:paraId="4EA70F37">
                  <w:pPr>
                    <w:pStyle w:val="24"/>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昼间标准限值dB(A)</w:t>
                  </w:r>
                </w:p>
              </w:tc>
              <w:tc>
                <w:tcPr>
                  <w:tcW w:w="1392" w:type="dxa"/>
                  <w:vAlign w:val="center"/>
                </w:tcPr>
                <w:p w14:paraId="7E105403">
                  <w:pPr>
                    <w:pStyle w:val="24"/>
                    <w:rPr>
                      <w:rFonts w:hint="default" w:ascii="Times New Roman" w:hAnsi="Times New Roman" w:cs="Times New Roman"/>
                      <w:b/>
                      <w:bCs/>
                      <w:sz w:val="18"/>
                      <w:szCs w:val="18"/>
                      <w:lang w:val="en-US" w:eastAsia="zh-CN"/>
                    </w:rPr>
                  </w:pPr>
                  <w:r>
                    <w:rPr>
                      <w:rFonts w:hint="eastAsia" w:ascii="Times New Roman" w:hAnsi="Times New Roman" w:cs="Times New Roman"/>
                      <w:b/>
                      <w:bCs/>
                      <w:sz w:val="18"/>
                      <w:szCs w:val="18"/>
                      <w:lang w:val="en-US" w:eastAsia="zh-CN"/>
                    </w:rPr>
                    <w:t>夜间标准限值dB（A）</w:t>
                  </w:r>
                </w:p>
              </w:tc>
            </w:tr>
            <w:tr w14:paraId="4FAE5862">
              <w:tblPrEx>
                <w:tblBorders>
                  <w:top w:val="single" w:color="000000" w:sz="12" w:space="0"/>
                  <w:left w:val="single" w:color="auto" w:sz="4"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25" w:type="dxa"/>
                  <w:tcBorders>
                    <w:left w:val="nil"/>
                  </w:tcBorders>
                  <w:vAlign w:val="center"/>
                </w:tcPr>
                <w:p w14:paraId="323BAFBB">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项目南、北厂界</w:t>
                  </w:r>
                </w:p>
              </w:tc>
              <w:tc>
                <w:tcPr>
                  <w:tcW w:w="1353" w:type="dxa"/>
                  <w:vAlign w:val="center"/>
                </w:tcPr>
                <w:p w14:paraId="76722B53">
                  <w:pPr>
                    <w:pStyle w:val="24"/>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w:t>
                  </w:r>
                </w:p>
              </w:tc>
              <w:tc>
                <w:tcPr>
                  <w:tcW w:w="1784" w:type="dxa"/>
                  <w:vAlign w:val="center"/>
                </w:tcPr>
                <w:p w14:paraId="25D4A57D">
                  <w:pPr>
                    <w:pStyle w:val="24"/>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47.2</w:t>
                  </w:r>
                </w:p>
              </w:tc>
              <w:tc>
                <w:tcPr>
                  <w:tcW w:w="1464" w:type="dxa"/>
                  <w:vMerge w:val="restart"/>
                  <w:vAlign w:val="center"/>
                </w:tcPr>
                <w:p w14:paraId="3CF8183F">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65</w:t>
                  </w:r>
                </w:p>
              </w:tc>
              <w:tc>
                <w:tcPr>
                  <w:tcW w:w="1392" w:type="dxa"/>
                  <w:vMerge w:val="restart"/>
                  <w:vAlign w:val="center"/>
                </w:tcPr>
                <w:p w14:paraId="4D3C81C5">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55</w:t>
                  </w:r>
                </w:p>
              </w:tc>
            </w:tr>
            <w:tr w14:paraId="05706D9A">
              <w:tblPrEx>
                <w:tblBorders>
                  <w:top w:val="single" w:color="000000" w:sz="12" w:space="0"/>
                  <w:left w:val="single" w:color="auto" w:sz="4"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25" w:type="dxa"/>
                  <w:tcBorders>
                    <w:left w:val="nil"/>
                  </w:tcBorders>
                  <w:vAlign w:val="center"/>
                </w:tcPr>
                <w:p w14:paraId="389A1826">
                  <w:pPr>
                    <w:pStyle w:val="24"/>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项目东、西厂界</w:t>
                  </w:r>
                </w:p>
              </w:tc>
              <w:tc>
                <w:tcPr>
                  <w:tcW w:w="1353" w:type="dxa"/>
                  <w:vAlign w:val="center"/>
                </w:tcPr>
                <w:p w14:paraId="275757CD">
                  <w:pPr>
                    <w:pStyle w:val="24"/>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w:t>
                  </w:r>
                </w:p>
              </w:tc>
              <w:tc>
                <w:tcPr>
                  <w:tcW w:w="1784" w:type="dxa"/>
                  <w:vAlign w:val="center"/>
                </w:tcPr>
                <w:p w14:paraId="055F7A9A">
                  <w:pPr>
                    <w:pStyle w:val="24"/>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45.1</w:t>
                  </w:r>
                </w:p>
              </w:tc>
              <w:tc>
                <w:tcPr>
                  <w:tcW w:w="1464" w:type="dxa"/>
                  <w:vMerge w:val="continue"/>
                  <w:vAlign w:val="center"/>
                </w:tcPr>
                <w:p w14:paraId="6936C71C">
                  <w:pPr>
                    <w:pStyle w:val="24"/>
                    <w:rPr>
                      <w:rFonts w:hint="default" w:ascii="Times New Roman" w:hAnsi="Times New Roman" w:cs="Times New Roman"/>
                      <w:sz w:val="18"/>
                      <w:szCs w:val="18"/>
                      <w:lang w:val="en-US" w:eastAsia="zh-CN"/>
                    </w:rPr>
                  </w:pPr>
                </w:p>
              </w:tc>
              <w:tc>
                <w:tcPr>
                  <w:tcW w:w="1392" w:type="dxa"/>
                  <w:vMerge w:val="continue"/>
                  <w:vAlign w:val="center"/>
                </w:tcPr>
                <w:p w14:paraId="6878C509">
                  <w:pPr>
                    <w:pStyle w:val="24"/>
                    <w:rPr>
                      <w:rFonts w:hint="default" w:ascii="Times New Roman" w:hAnsi="Times New Roman" w:cs="Times New Roman"/>
                      <w:sz w:val="18"/>
                      <w:szCs w:val="18"/>
                      <w:lang w:val="en-US" w:eastAsia="zh-CN"/>
                    </w:rPr>
                  </w:pPr>
                </w:p>
              </w:tc>
            </w:tr>
          </w:tbl>
          <w:p w14:paraId="548C6DE3">
            <w:pPr>
              <w:pStyle w:val="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jc w:val="both"/>
              <w:textAlignment w:val="auto"/>
              <w:rPr>
                <w:rFonts w:hint="default" w:ascii="Times New Roman" w:hAnsi="Times New Roman" w:cs="Times New Roman"/>
                <w:color w:val="auto"/>
                <w:sz w:val="21"/>
                <w:szCs w:val="21"/>
                <w:lang w:val="zh-CN"/>
              </w:rPr>
            </w:pPr>
            <w:r>
              <w:rPr>
                <w:rFonts w:ascii="Times New Roman" w:hAnsi="Times New Roman" w:cs="Times New Roman"/>
                <w:color w:val="auto"/>
                <w:sz w:val="21"/>
                <w:szCs w:val="21"/>
              </w:rPr>
              <w:t>项目</w:t>
            </w:r>
            <w:r>
              <w:rPr>
                <w:rFonts w:hint="eastAsia" w:ascii="Times New Roman" w:hAnsi="Times New Roman" w:eastAsia="宋体" w:cs="Times New Roman"/>
                <w:color w:val="auto"/>
                <w:sz w:val="21"/>
                <w:szCs w:val="21"/>
                <w:lang w:val="en-US" w:eastAsia="zh-CN"/>
              </w:rPr>
              <w:t>厂界50m范围内无声环境保护目标</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由上表4-11可知，</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主要噪声源在采取有效的降噪措施前提下，项目四周噪声满足</w:t>
            </w:r>
            <w:r>
              <w:rPr>
                <w:rFonts w:hint="default" w:ascii="Times New Roman" w:hAnsi="Times New Roman" w:eastAsia="宋体" w:cs="Times New Roman"/>
                <w:color w:val="auto"/>
                <w:sz w:val="21"/>
                <w:szCs w:val="21"/>
                <w:lang w:val="en-US" w:eastAsia="zh-CN"/>
              </w:rPr>
              <w:t>GB12348-2008《工业企业厂界环境噪声排放标准》</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类标准要求（昼间≤6</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dB、夜间≤5</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dB）。项目产噪设备经隔声、减振措施后，噪声对周边声环境的影响很小</w:t>
            </w:r>
            <w:r>
              <w:rPr>
                <w:rFonts w:hint="eastAsia" w:cs="Times New Roman"/>
                <w:color w:val="auto"/>
                <w:sz w:val="21"/>
                <w:szCs w:val="21"/>
                <w:lang w:val="en-US" w:eastAsia="zh-CN"/>
              </w:rPr>
              <w:t>。</w:t>
            </w:r>
          </w:p>
          <w:p w14:paraId="5CB7B5D4">
            <w:pPr>
              <w:pStyle w:val="6"/>
              <w:widowControl w:val="0"/>
              <w:wordWrap/>
              <w:adjustRightInd w:val="0"/>
              <w:snapToGrid w:val="0"/>
              <w:spacing w:line="360" w:lineRule="auto"/>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为了更进一步减少噪声对周围环境的影响，建议项目采取以下降噪措施：</w:t>
            </w:r>
          </w:p>
          <w:p w14:paraId="1FBC6FD6">
            <w:pPr>
              <w:pStyle w:val="6"/>
              <w:widowControl w:val="0"/>
              <w:wordWrap/>
              <w:adjustRightInd w:val="0"/>
              <w:snapToGrid w:val="0"/>
              <w:spacing w:line="360" w:lineRule="auto"/>
              <w:ind w:firstLine="480"/>
              <w:jc w:val="both"/>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项目应从声源传播途径上降低噪声源强应是首选的控制噪声措施，采取隔声、隔振、消声、吸声以及阻尼等降噪措施，以确保厂界噪声达标排放。为有效地控制噪声污染，减轻噪声影响，建议采取噪声污染控制措施如下：</w:t>
            </w:r>
          </w:p>
          <w:p w14:paraId="0F50D6EC">
            <w:pPr>
              <w:pStyle w:val="6"/>
              <w:widowControl w:val="0"/>
              <w:wordWrap/>
              <w:adjustRightInd w:val="0"/>
              <w:snapToGrid w:val="0"/>
              <w:spacing w:line="360" w:lineRule="auto"/>
              <w:ind w:firstLine="48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①选用低噪声设备</w:t>
            </w:r>
            <w:r>
              <w:rPr>
                <w:rFonts w:hint="eastAsia" w:ascii="Times New Roman" w:hAnsi="Times New Roman" w:eastAsia="宋体" w:cs="Times New Roman"/>
                <w:color w:val="auto"/>
                <w:sz w:val="21"/>
                <w:szCs w:val="21"/>
                <w:lang w:val="en-US" w:eastAsia="zh-CN"/>
              </w:rPr>
              <w:t>；</w:t>
            </w:r>
          </w:p>
          <w:p w14:paraId="58C17D1A">
            <w:pPr>
              <w:pStyle w:val="6"/>
              <w:widowControl w:val="0"/>
              <w:wordWrap/>
              <w:adjustRightInd w:val="0"/>
              <w:snapToGrid w:val="0"/>
              <w:spacing w:line="360" w:lineRule="auto"/>
              <w:ind w:firstLine="48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②为高噪声设备加装减震垫，风机加装消声器</w:t>
            </w:r>
            <w:r>
              <w:rPr>
                <w:rFonts w:hint="eastAsia" w:ascii="Times New Roman" w:hAnsi="Times New Roman" w:eastAsia="宋体" w:cs="Times New Roman"/>
                <w:color w:val="auto"/>
                <w:sz w:val="21"/>
                <w:szCs w:val="21"/>
                <w:lang w:val="en-US" w:eastAsia="zh-CN"/>
              </w:rPr>
              <w:t>；</w:t>
            </w:r>
          </w:p>
          <w:p w14:paraId="3D905E01">
            <w:pPr>
              <w:pStyle w:val="6"/>
              <w:widowControl w:val="0"/>
              <w:wordWrap/>
              <w:adjustRightInd w:val="0"/>
              <w:snapToGrid w:val="0"/>
              <w:spacing w:line="360" w:lineRule="auto"/>
              <w:ind w:firstLine="48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③加强设备日常维护，定期检修，使设备处于良好的运转状态，避免因设备运转不正常时噪声的增高</w:t>
            </w:r>
            <w:r>
              <w:rPr>
                <w:rFonts w:hint="eastAsia" w:ascii="Times New Roman" w:hAnsi="Times New Roman" w:eastAsia="宋体" w:cs="Times New Roman"/>
                <w:color w:val="auto"/>
                <w:sz w:val="21"/>
                <w:szCs w:val="21"/>
                <w:lang w:val="en-US" w:eastAsia="zh-CN"/>
              </w:rPr>
              <w:t>；</w:t>
            </w:r>
          </w:p>
          <w:p w14:paraId="30862844">
            <w:pPr>
              <w:pStyle w:val="6"/>
              <w:widowControl w:val="0"/>
              <w:wordWrap/>
              <w:adjustRightInd w:val="0"/>
              <w:snapToGrid w:val="0"/>
              <w:spacing w:line="360" w:lineRule="auto"/>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④合理安排生产时间，尽量避免在中午及晚间加班。</w:t>
            </w:r>
          </w:p>
          <w:p w14:paraId="0519E11A">
            <w:pPr>
              <w:pStyle w:val="6"/>
              <w:widowControl w:val="0"/>
              <w:wordWrap/>
              <w:adjustRightInd w:val="0"/>
              <w:snapToGrid w:val="0"/>
              <w:spacing w:line="360" w:lineRule="auto"/>
              <w:ind w:firstLine="48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综上所述，所采取的噪声治理措施可行。</w:t>
            </w:r>
          </w:p>
          <w:p w14:paraId="35B0CB69">
            <w:pPr>
              <w:autoSpaceDE w:val="0"/>
              <w:autoSpaceDN w:val="0"/>
              <w:adjustRightInd w:val="0"/>
              <w:spacing w:line="360" w:lineRule="auto"/>
              <w:ind w:firstLine="422" w:firstLineChars="20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（4）噪声监测点位及监测频次</w:t>
            </w:r>
          </w:p>
          <w:p w14:paraId="1BD514E0">
            <w:pPr>
              <w:pStyle w:val="6"/>
              <w:widowControl w:val="0"/>
              <w:adjustRightInd w:val="0"/>
              <w:snapToGrid w:val="0"/>
              <w:spacing w:beforeLines="50" w:line="360" w:lineRule="auto"/>
              <w:ind w:firstLine="480"/>
              <w:jc w:val="both"/>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根据《排污单位自行监测技术指南 总则》（HJ819-2017）规定，项目噪声监测要求见下表。</w:t>
            </w:r>
          </w:p>
          <w:p w14:paraId="0B3C7157">
            <w:pPr>
              <w:widowControl/>
              <w:wordWrap/>
              <w:adjustRightInd/>
              <w:snapToGrid/>
              <w:spacing w:line="360" w:lineRule="auto"/>
              <w:ind w:left="0" w:firstLine="0" w:firstLineChars="0"/>
              <w:jc w:val="center"/>
              <w:textAlignment w:val="auto"/>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zh-CN"/>
              </w:rPr>
              <w:t>表</w:t>
            </w:r>
            <w:r>
              <w:rPr>
                <w:rFonts w:hint="default" w:ascii="Times New Roman" w:hAnsi="Times New Roman" w:eastAsia="宋体" w:cs="Times New Roman"/>
                <w:b/>
                <w:color w:val="auto"/>
                <w:kern w:val="0"/>
                <w:sz w:val="21"/>
                <w:szCs w:val="21"/>
                <w:lang w:val="en-US" w:eastAsia="zh-CN"/>
              </w:rPr>
              <w:t>4-1</w:t>
            </w:r>
            <w:r>
              <w:rPr>
                <w:rFonts w:hint="eastAsia" w:cs="Times New Roman"/>
                <w:b/>
                <w:color w:val="auto"/>
                <w:kern w:val="0"/>
                <w:sz w:val="21"/>
                <w:szCs w:val="21"/>
                <w:lang w:val="en-US" w:eastAsia="zh-CN"/>
              </w:rPr>
              <w:t>4</w:t>
            </w:r>
            <w:r>
              <w:rPr>
                <w:rFonts w:hint="eastAsia"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lang w:val="en-US" w:eastAsia="zh-CN"/>
              </w:rPr>
              <w:t xml:space="preserve"> 噪声监测点位及监测频次一览表</w:t>
            </w:r>
          </w:p>
          <w:tbl>
            <w:tblPr>
              <w:tblStyle w:val="17"/>
              <w:tblW w:w="77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0"/>
              <w:gridCol w:w="1733"/>
              <w:gridCol w:w="1062"/>
              <w:gridCol w:w="2483"/>
            </w:tblGrid>
            <w:tr w14:paraId="7FBD6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0" w:type="dxa"/>
                  <w:tcBorders>
                    <w:tl2br w:val="nil"/>
                    <w:tr2bl w:val="nil"/>
                  </w:tcBorders>
                  <w:vAlign w:val="center"/>
                </w:tcPr>
                <w:p w14:paraId="5BB0F67D">
                  <w:pPr>
                    <w:pStyle w:val="11"/>
                    <w:widowControl w:val="0"/>
                    <w:wordWrap/>
                    <w:adjustRightInd/>
                    <w:spacing w:line="240" w:lineRule="auto"/>
                    <w:ind w:firstLine="0" w:firstLine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监测点位</w:t>
                  </w:r>
                </w:p>
              </w:tc>
              <w:tc>
                <w:tcPr>
                  <w:tcW w:w="1733" w:type="dxa"/>
                  <w:tcBorders>
                    <w:tl2br w:val="nil"/>
                    <w:tr2bl w:val="nil"/>
                  </w:tcBorders>
                  <w:vAlign w:val="center"/>
                </w:tcPr>
                <w:p w14:paraId="084D58ED">
                  <w:pPr>
                    <w:pStyle w:val="11"/>
                    <w:widowControl w:val="0"/>
                    <w:wordWrap/>
                    <w:adjustRightInd/>
                    <w:spacing w:line="240" w:lineRule="auto"/>
                    <w:ind w:firstLine="0" w:firstLine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监测指标</w:t>
                  </w:r>
                </w:p>
              </w:tc>
              <w:tc>
                <w:tcPr>
                  <w:tcW w:w="1062" w:type="dxa"/>
                  <w:tcBorders>
                    <w:tl2br w:val="nil"/>
                    <w:tr2bl w:val="nil"/>
                  </w:tcBorders>
                  <w:vAlign w:val="center"/>
                </w:tcPr>
                <w:p w14:paraId="245E48DD">
                  <w:pPr>
                    <w:pStyle w:val="11"/>
                    <w:widowControl w:val="0"/>
                    <w:wordWrap/>
                    <w:adjustRightInd/>
                    <w:spacing w:line="240" w:lineRule="auto"/>
                    <w:ind w:firstLine="0" w:firstLine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监测频次</w:t>
                  </w:r>
                </w:p>
              </w:tc>
              <w:tc>
                <w:tcPr>
                  <w:tcW w:w="2483" w:type="dxa"/>
                  <w:tcBorders>
                    <w:tl2br w:val="nil"/>
                    <w:tr2bl w:val="nil"/>
                  </w:tcBorders>
                  <w:vAlign w:val="center"/>
                </w:tcPr>
                <w:p w14:paraId="1757A88A">
                  <w:pPr>
                    <w:pStyle w:val="11"/>
                    <w:widowControl w:val="0"/>
                    <w:wordWrap/>
                    <w:adjustRightInd/>
                    <w:spacing w:line="240" w:lineRule="auto"/>
                    <w:ind w:firstLine="0" w:firstLineChars="0"/>
                    <w:jc w:val="center"/>
                    <w:textAlignment w:val="auto"/>
                    <w:rPr>
                      <w:rFonts w:hint="default"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执行环境质量标准</w:t>
                  </w:r>
                </w:p>
              </w:tc>
            </w:tr>
            <w:tr w14:paraId="4F7EB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0" w:type="dxa"/>
                  <w:tcBorders>
                    <w:tl2br w:val="nil"/>
                    <w:tr2bl w:val="nil"/>
                  </w:tcBorders>
                  <w:vAlign w:val="center"/>
                </w:tcPr>
                <w:p w14:paraId="1BCDF949">
                  <w:pPr>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厂界</w:t>
                  </w:r>
                  <w:r>
                    <w:rPr>
                      <w:rFonts w:hint="eastAsia" w:cs="Times New Roman"/>
                      <w:color w:val="auto"/>
                      <w:sz w:val="18"/>
                      <w:szCs w:val="18"/>
                      <w:lang w:val="en-US" w:eastAsia="zh-CN"/>
                    </w:rPr>
                    <w:t>东侧</w:t>
                  </w:r>
                </w:p>
              </w:tc>
              <w:tc>
                <w:tcPr>
                  <w:tcW w:w="1733" w:type="dxa"/>
                  <w:vMerge w:val="restart"/>
                  <w:tcBorders>
                    <w:tl2br w:val="nil"/>
                    <w:tr2bl w:val="nil"/>
                  </w:tcBorders>
                  <w:vAlign w:val="center"/>
                </w:tcPr>
                <w:p w14:paraId="30A597F3">
                  <w:pPr>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连续等效A声级</w:t>
                  </w:r>
                </w:p>
              </w:tc>
              <w:tc>
                <w:tcPr>
                  <w:tcW w:w="1062" w:type="dxa"/>
                  <w:vMerge w:val="restart"/>
                  <w:tcBorders>
                    <w:tl2br w:val="nil"/>
                    <w:tr2bl w:val="nil"/>
                  </w:tcBorders>
                  <w:vAlign w:val="center"/>
                </w:tcPr>
                <w:p w14:paraId="4733167D">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1次/季度</w:t>
                  </w:r>
                </w:p>
              </w:tc>
              <w:tc>
                <w:tcPr>
                  <w:tcW w:w="2483" w:type="dxa"/>
                  <w:vMerge w:val="restart"/>
                  <w:tcBorders>
                    <w:tl2br w:val="nil"/>
                    <w:tr2bl w:val="nil"/>
                  </w:tcBorders>
                  <w:vAlign w:val="center"/>
                </w:tcPr>
                <w:p w14:paraId="347814D9">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《工业企业厂界环境噪声排放标准》的</w:t>
                  </w: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类标准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GB12348-2008</w:t>
                  </w:r>
                  <w:r>
                    <w:rPr>
                      <w:rFonts w:hint="default" w:ascii="Times New Roman" w:hAnsi="Times New Roman" w:cs="Times New Roman"/>
                      <w:color w:val="auto"/>
                      <w:sz w:val="18"/>
                      <w:szCs w:val="18"/>
                      <w:lang w:eastAsia="zh-CN"/>
                    </w:rPr>
                    <w:t>）</w:t>
                  </w:r>
                </w:p>
              </w:tc>
            </w:tr>
            <w:tr w14:paraId="2E0D2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0" w:type="dxa"/>
                  <w:tcBorders>
                    <w:tl2br w:val="nil"/>
                    <w:tr2bl w:val="nil"/>
                  </w:tcBorders>
                  <w:vAlign w:val="center"/>
                </w:tcPr>
                <w:p w14:paraId="0F8AC622">
                  <w:pPr>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厂界南侧</w:t>
                  </w:r>
                </w:p>
              </w:tc>
              <w:tc>
                <w:tcPr>
                  <w:tcW w:w="1733" w:type="dxa"/>
                  <w:vMerge w:val="continue"/>
                  <w:tcBorders>
                    <w:tl2br w:val="nil"/>
                    <w:tr2bl w:val="nil"/>
                  </w:tcBorders>
                  <w:vAlign w:val="center"/>
                </w:tcPr>
                <w:p w14:paraId="03F25DB2">
                  <w:pPr>
                    <w:widowControl w:val="0"/>
                    <w:wordWrap/>
                    <w:adjustRightInd/>
                    <w:spacing w:line="240" w:lineRule="auto"/>
                    <w:ind w:firstLine="0" w:firstLineChars="0"/>
                    <w:jc w:val="center"/>
                    <w:textAlignment w:val="auto"/>
                    <w:rPr>
                      <w:rFonts w:hint="default" w:ascii="Times New Roman" w:hAnsi="Times New Roman" w:cs="Times New Roman"/>
                      <w:color w:val="auto"/>
                      <w:kern w:val="0"/>
                      <w:sz w:val="18"/>
                      <w:szCs w:val="18"/>
                    </w:rPr>
                  </w:pPr>
                </w:p>
              </w:tc>
              <w:tc>
                <w:tcPr>
                  <w:tcW w:w="1062" w:type="dxa"/>
                  <w:vMerge w:val="continue"/>
                  <w:tcBorders>
                    <w:tl2br w:val="nil"/>
                    <w:tr2bl w:val="nil"/>
                  </w:tcBorders>
                  <w:vAlign w:val="center"/>
                </w:tcPr>
                <w:p w14:paraId="39556779">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p>
              </w:tc>
              <w:tc>
                <w:tcPr>
                  <w:tcW w:w="2483" w:type="dxa"/>
                  <w:vMerge w:val="continue"/>
                  <w:tcBorders>
                    <w:tl2br w:val="nil"/>
                    <w:tr2bl w:val="nil"/>
                  </w:tcBorders>
                  <w:vAlign w:val="center"/>
                </w:tcPr>
                <w:p w14:paraId="08AF5918">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p>
              </w:tc>
            </w:tr>
            <w:tr w14:paraId="17D3A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0" w:type="dxa"/>
                  <w:tcBorders>
                    <w:tl2br w:val="nil"/>
                    <w:tr2bl w:val="nil"/>
                  </w:tcBorders>
                  <w:vAlign w:val="center"/>
                </w:tcPr>
                <w:p w14:paraId="5F236D6F">
                  <w:pPr>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厂界西侧</w:t>
                  </w:r>
                </w:p>
              </w:tc>
              <w:tc>
                <w:tcPr>
                  <w:tcW w:w="1733" w:type="dxa"/>
                  <w:vMerge w:val="continue"/>
                  <w:tcBorders>
                    <w:tl2br w:val="nil"/>
                    <w:tr2bl w:val="nil"/>
                  </w:tcBorders>
                  <w:vAlign w:val="center"/>
                </w:tcPr>
                <w:p w14:paraId="16DADD2A">
                  <w:pPr>
                    <w:widowControl w:val="0"/>
                    <w:wordWrap/>
                    <w:adjustRightInd/>
                    <w:spacing w:line="240" w:lineRule="auto"/>
                    <w:ind w:firstLine="0" w:firstLineChars="0"/>
                    <w:jc w:val="center"/>
                    <w:textAlignment w:val="auto"/>
                    <w:rPr>
                      <w:rFonts w:hint="default" w:ascii="Times New Roman" w:hAnsi="Times New Roman" w:cs="Times New Roman"/>
                      <w:color w:val="auto"/>
                      <w:kern w:val="0"/>
                      <w:sz w:val="18"/>
                      <w:szCs w:val="18"/>
                    </w:rPr>
                  </w:pPr>
                </w:p>
              </w:tc>
              <w:tc>
                <w:tcPr>
                  <w:tcW w:w="1062" w:type="dxa"/>
                  <w:vMerge w:val="continue"/>
                  <w:tcBorders>
                    <w:tl2br w:val="nil"/>
                    <w:tr2bl w:val="nil"/>
                  </w:tcBorders>
                  <w:vAlign w:val="center"/>
                </w:tcPr>
                <w:p w14:paraId="7FB0BBAB">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p>
              </w:tc>
              <w:tc>
                <w:tcPr>
                  <w:tcW w:w="2483" w:type="dxa"/>
                  <w:vMerge w:val="continue"/>
                  <w:tcBorders>
                    <w:tl2br w:val="nil"/>
                    <w:tr2bl w:val="nil"/>
                  </w:tcBorders>
                  <w:vAlign w:val="center"/>
                </w:tcPr>
                <w:p w14:paraId="7D2224D1">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p>
              </w:tc>
            </w:tr>
            <w:tr w14:paraId="3D746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0" w:type="dxa"/>
                  <w:tcBorders>
                    <w:tl2br w:val="nil"/>
                    <w:tr2bl w:val="nil"/>
                  </w:tcBorders>
                  <w:vAlign w:val="center"/>
                </w:tcPr>
                <w:p w14:paraId="039276D8">
                  <w:pPr>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厂界东侧</w:t>
                  </w:r>
                </w:p>
              </w:tc>
              <w:tc>
                <w:tcPr>
                  <w:tcW w:w="1733" w:type="dxa"/>
                  <w:vMerge w:val="continue"/>
                  <w:tcBorders>
                    <w:tl2br w:val="nil"/>
                    <w:tr2bl w:val="nil"/>
                  </w:tcBorders>
                  <w:vAlign w:val="center"/>
                </w:tcPr>
                <w:p w14:paraId="46F777A6">
                  <w:pPr>
                    <w:widowControl w:val="0"/>
                    <w:wordWrap/>
                    <w:adjustRightInd/>
                    <w:spacing w:line="240" w:lineRule="auto"/>
                    <w:ind w:firstLine="0" w:firstLineChars="0"/>
                    <w:jc w:val="center"/>
                    <w:textAlignment w:val="auto"/>
                    <w:rPr>
                      <w:rFonts w:hint="default" w:ascii="Times New Roman" w:hAnsi="Times New Roman" w:cs="Times New Roman"/>
                      <w:color w:val="auto"/>
                      <w:kern w:val="0"/>
                      <w:sz w:val="18"/>
                      <w:szCs w:val="18"/>
                    </w:rPr>
                  </w:pPr>
                </w:p>
              </w:tc>
              <w:tc>
                <w:tcPr>
                  <w:tcW w:w="1062" w:type="dxa"/>
                  <w:vMerge w:val="continue"/>
                  <w:tcBorders>
                    <w:tl2br w:val="nil"/>
                    <w:tr2bl w:val="nil"/>
                  </w:tcBorders>
                  <w:vAlign w:val="center"/>
                </w:tcPr>
                <w:p w14:paraId="1B1CC489">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p>
              </w:tc>
              <w:tc>
                <w:tcPr>
                  <w:tcW w:w="2483" w:type="dxa"/>
                  <w:vMerge w:val="continue"/>
                  <w:tcBorders>
                    <w:tl2br w:val="nil"/>
                    <w:tr2bl w:val="nil"/>
                  </w:tcBorders>
                  <w:vAlign w:val="center"/>
                </w:tcPr>
                <w:p w14:paraId="2BF5FE4F">
                  <w:pPr>
                    <w:pStyle w:val="11"/>
                    <w:widowControl w:val="0"/>
                    <w:wordWrap/>
                    <w:adjustRightInd/>
                    <w:spacing w:line="240" w:lineRule="auto"/>
                    <w:ind w:firstLine="0" w:firstLineChars="0"/>
                    <w:jc w:val="center"/>
                    <w:textAlignment w:val="auto"/>
                    <w:rPr>
                      <w:rFonts w:hint="default" w:ascii="Times New Roman" w:hAnsi="Times New Roman" w:cs="Times New Roman"/>
                      <w:color w:val="auto"/>
                      <w:sz w:val="18"/>
                      <w:szCs w:val="18"/>
                      <w:lang w:val="en-US" w:eastAsia="zh-CN"/>
                    </w:rPr>
                  </w:pPr>
                </w:p>
              </w:tc>
            </w:tr>
          </w:tbl>
          <w:p w14:paraId="0260F27B">
            <w:pPr>
              <w:spacing w:line="360" w:lineRule="auto"/>
              <w:ind w:left="0" w:leftChars="0" w:firstLine="0" w:firstLineChars="0"/>
              <w:rPr>
                <w:rFonts w:hint="default"/>
                <w:sz w:val="21"/>
                <w:szCs w:val="21"/>
                <w:lang w:val="en-US" w:eastAsia="zh-CN"/>
              </w:rPr>
            </w:pPr>
            <w:r>
              <w:rPr>
                <w:rFonts w:hint="eastAsia"/>
                <w:b/>
                <w:bCs/>
                <w:lang w:val="en-US" w:eastAsia="zh-CN"/>
              </w:rPr>
              <w:t>4.固废</w:t>
            </w:r>
          </w:p>
          <w:p w14:paraId="1181AEBF">
            <w:pPr>
              <w:spacing w:line="360" w:lineRule="auto"/>
              <w:rPr>
                <w:rFonts w:hint="default"/>
                <w:b/>
                <w:bCs/>
                <w:sz w:val="21"/>
                <w:szCs w:val="21"/>
                <w:lang w:val="en-US" w:eastAsia="zh-CN"/>
              </w:rPr>
            </w:pPr>
            <w:r>
              <w:rPr>
                <w:rFonts w:hint="eastAsia"/>
                <w:b/>
                <w:bCs/>
                <w:lang w:val="en-US" w:eastAsia="zh-CN"/>
              </w:rPr>
              <w:t>（1）固废源强核算</w:t>
            </w:r>
          </w:p>
          <w:p w14:paraId="4BC4043A">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a.一般固体废物：</w:t>
            </w:r>
          </w:p>
          <w:p w14:paraId="68E5AA3C">
            <w:pPr>
              <w:snapToGrid w:val="0"/>
              <w:spacing w:line="360" w:lineRule="auto"/>
              <w:ind w:firstLine="480"/>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本项目的一般固体废物主要包括切割等工序产生的木屑粉尘、废边角料、废包装材料、</w:t>
            </w:r>
            <w:r>
              <w:rPr>
                <w:rFonts w:hint="eastAsia" w:cs="Times New Roman"/>
                <w:color w:val="000000" w:themeColor="text1"/>
                <w:lang w:val="en-US" w:eastAsia="zh-CN"/>
                <w14:textFill>
                  <w14:solidFill>
                    <w14:schemeClr w14:val="tx1"/>
                  </w14:solidFill>
                </w14:textFill>
              </w:rPr>
              <w:t>原料空桶</w:t>
            </w:r>
            <w:r>
              <w:rPr>
                <w:rFonts w:hint="eastAsia" w:cs="Times New Roman"/>
                <w:b w:val="0"/>
                <w:bCs w:val="0"/>
                <w:color w:val="auto"/>
                <w:sz w:val="21"/>
                <w:szCs w:val="21"/>
                <w:lang w:val="en-US" w:eastAsia="zh-CN"/>
              </w:rPr>
              <w:t>。</w:t>
            </w:r>
          </w:p>
          <w:p w14:paraId="6F758E10">
            <w:pPr>
              <w:snapToGrid w:val="0"/>
              <w:spacing w:line="360" w:lineRule="auto"/>
              <w:ind w:firstLine="48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根据《固体废物鉴别标准 通则》（GB34330-2017）中第6.1条a）中“任何不需要修复和加工即可用于其原始用途的物质，或者在产生点经过修复和加工后满足国家、地方制定或行业通行的产品质量标准并且用于其原始用途的物质”可不作为固体废物管理。</w:t>
            </w:r>
            <w:r>
              <w:rPr>
                <w:rFonts w:hint="eastAsia" w:ascii="Times New Roman" w:hAnsi="Times New Roman" w:cs="Times New Roman"/>
                <w:b w:val="0"/>
                <w:bCs w:val="0"/>
                <w:color w:val="auto"/>
                <w:sz w:val="21"/>
                <w:szCs w:val="21"/>
                <w:lang w:val="en-US" w:eastAsia="zh-CN"/>
              </w:rPr>
              <w:t>因此</w:t>
            </w:r>
            <w:r>
              <w:rPr>
                <w:rFonts w:hint="eastAsia" w:ascii="Times New Roman" w:hAnsi="Times New Roman" w:eastAsia="宋体" w:cs="Times New Roman"/>
                <w:b w:val="0"/>
                <w:bCs w:val="0"/>
                <w:color w:val="auto"/>
                <w:sz w:val="21"/>
                <w:szCs w:val="21"/>
                <w:lang w:val="en-US" w:eastAsia="zh-CN"/>
              </w:rPr>
              <w:t>，本项目</w:t>
            </w:r>
            <w:r>
              <w:rPr>
                <w:rFonts w:hint="eastAsia" w:ascii="Times New Roman" w:hAnsi="Times New Roman" w:cs="Times New Roman"/>
                <w:color w:val="000000" w:themeColor="text1"/>
                <w:lang w:eastAsia="zh-CN"/>
                <w14:textFill>
                  <w14:solidFill>
                    <w14:schemeClr w14:val="tx1"/>
                  </w14:solidFill>
                </w14:textFill>
              </w:rPr>
              <w:t>使用底漆、面漆、稀释剂</w:t>
            </w:r>
            <w:r>
              <w:rPr>
                <w:rFonts w:hint="eastAsia" w:cs="Times New Roman"/>
                <w:color w:val="000000" w:themeColor="text1"/>
                <w:lang w:val="en-US" w:eastAsia="zh-CN"/>
                <w14:textFill>
                  <w14:solidFill>
                    <w14:schemeClr w14:val="tx1"/>
                  </w14:solidFill>
                </w14:textFill>
              </w:rPr>
              <w:t>和</w:t>
            </w:r>
            <w:r>
              <w:rPr>
                <w:rFonts w:hint="eastAsia" w:ascii="Times New Roman" w:hAnsi="Times New Roman" w:cs="Times New Roman"/>
                <w:color w:val="000000" w:themeColor="text1"/>
                <w:lang w:eastAsia="zh-CN"/>
                <w14:textFill>
                  <w14:solidFill>
                    <w14:schemeClr w14:val="tx1"/>
                  </w14:solidFill>
                </w14:textFill>
              </w:rPr>
              <w:t>固化剂过程产生的</w:t>
            </w:r>
            <w:r>
              <w:rPr>
                <w:rFonts w:hint="eastAsia" w:ascii="Times New Roman" w:hAnsi="Times New Roman" w:cs="Times New Roman"/>
                <w:color w:val="000000" w:themeColor="text1"/>
                <w:lang w:val="en-US" w:eastAsia="zh-CN"/>
                <w14:textFill>
                  <w14:solidFill>
                    <w14:schemeClr w14:val="tx1"/>
                  </w14:solidFill>
                </w14:textFill>
              </w:rPr>
              <w:t>原料</w:t>
            </w:r>
            <w:r>
              <w:rPr>
                <w:rFonts w:hint="eastAsia" w:ascii="Times New Roman" w:hAnsi="Times New Roman" w:cs="Times New Roman"/>
                <w:b w:val="0"/>
                <w:bCs w:val="0"/>
                <w:color w:val="auto"/>
                <w:sz w:val="21"/>
                <w:szCs w:val="21"/>
                <w:lang w:val="en-US" w:eastAsia="zh-CN"/>
              </w:rPr>
              <w:t>空</w:t>
            </w:r>
            <w:r>
              <w:rPr>
                <w:rFonts w:hint="eastAsia" w:ascii="Times New Roman" w:hAnsi="Times New Roman" w:eastAsia="宋体" w:cs="Times New Roman"/>
                <w:b w:val="0"/>
                <w:bCs w:val="0"/>
                <w:color w:val="auto"/>
                <w:sz w:val="21"/>
                <w:szCs w:val="21"/>
                <w:lang w:val="en-US" w:eastAsia="zh-CN"/>
              </w:rPr>
              <w:t>桶</w:t>
            </w:r>
            <w:r>
              <w:rPr>
                <w:rFonts w:hint="eastAsia" w:ascii="Times New Roman" w:hAnsi="Times New Roman" w:cs="Times New Roman"/>
                <w:b w:val="0"/>
                <w:bCs w:val="0"/>
                <w:color w:val="auto"/>
                <w:sz w:val="21"/>
                <w:szCs w:val="21"/>
                <w:lang w:val="en-US" w:eastAsia="zh-CN"/>
              </w:rPr>
              <w:t>不是危险废物，但</w:t>
            </w:r>
            <w:r>
              <w:rPr>
                <w:rFonts w:hint="eastAsia" w:ascii="Times New Roman" w:hAnsi="Times New Roman" w:eastAsia="宋体" w:cs="Times New Roman"/>
                <w:b w:val="0"/>
                <w:bCs w:val="0"/>
                <w:color w:val="auto"/>
                <w:sz w:val="21"/>
                <w:szCs w:val="21"/>
                <w:lang w:val="en-US" w:eastAsia="zh-CN"/>
              </w:rPr>
              <w:t>在</w:t>
            </w:r>
            <w:r>
              <w:rPr>
                <w:rFonts w:hint="eastAsia" w:ascii="Times New Roman" w:hAnsi="Times New Roman" w:cs="Times New Roman"/>
                <w:b w:val="0"/>
                <w:bCs w:val="0"/>
                <w:color w:val="auto"/>
                <w:sz w:val="21"/>
                <w:szCs w:val="21"/>
                <w:lang w:val="en-US" w:eastAsia="zh-CN"/>
              </w:rPr>
              <w:t>临时贮存</w:t>
            </w:r>
            <w:r>
              <w:rPr>
                <w:rFonts w:hint="eastAsia" w:ascii="Times New Roman" w:hAnsi="Times New Roman" w:eastAsia="宋体" w:cs="Times New Roman"/>
                <w:b w:val="0"/>
                <w:bCs w:val="0"/>
                <w:color w:val="auto"/>
                <w:sz w:val="21"/>
                <w:szCs w:val="21"/>
                <w:lang w:val="en-US" w:eastAsia="zh-CN"/>
              </w:rPr>
              <w:t>、运输等环节按危险废物的管理要求进行监管。</w:t>
            </w:r>
          </w:p>
          <w:p w14:paraId="281D725A">
            <w:pPr>
              <w:pStyle w:val="2"/>
              <w:spacing w:line="360" w:lineRule="auto"/>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auto"/>
                <w:sz w:val="21"/>
                <w:szCs w:val="21"/>
                <w:lang w:val="en-US" w:eastAsia="zh-CN"/>
              </w:rPr>
              <w:t>根据迁建前的扩建项目环保竣工验收报告，木屑粉尘、废边角料、废包装材料、</w:t>
            </w:r>
            <w:r>
              <w:rPr>
                <w:rFonts w:hint="default" w:ascii="Times New Roman" w:hAnsi="Times New Roman" w:cs="Times New Roman"/>
                <w:color w:val="000000" w:themeColor="text1"/>
                <w:lang w:val="en-US" w:eastAsia="zh-CN"/>
                <w14:textFill>
                  <w14:solidFill>
                    <w14:schemeClr w14:val="tx1"/>
                  </w14:solidFill>
                </w14:textFill>
              </w:rPr>
              <w:t>原料空桶的产生量分别为0.0738t/a、0.464t/a、0.02t/a、0.05t/a。</w:t>
            </w:r>
          </w:p>
          <w:p w14:paraId="08F7912C">
            <w:pPr>
              <w:spacing w:line="360" w:lineRule="auto"/>
              <w:ind w:firstLine="422" w:firstLineChars="200"/>
              <w:rPr>
                <w:rFonts w:hint="eastAsia" w:ascii="Times New Roman" w:hAnsi="Times New Roman" w:eastAsia="宋体" w:cs="Times New Roman"/>
                <w:b w:val="0"/>
                <w:bCs w:val="0"/>
                <w:color w:val="auto"/>
                <w:sz w:val="21"/>
                <w:szCs w:val="21"/>
                <w:lang w:val="en-US" w:eastAsia="zh-CN"/>
              </w:rPr>
            </w:pPr>
            <w:r>
              <w:rPr>
                <w:rFonts w:hint="eastAsia"/>
                <w:b/>
                <w:bCs/>
                <w:lang w:val="en-US" w:eastAsia="zh-CN"/>
              </w:rPr>
              <w:t>b.危险废物：</w:t>
            </w:r>
          </w:p>
          <w:p w14:paraId="71FC0534">
            <w:pPr>
              <w:spacing w:line="360" w:lineRule="auto"/>
              <w:ind w:firstLine="420" w:firstLineChars="200"/>
              <w:rPr>
                <w:rFonts w:hint="eastAsia"/>
                <w:color w:val="auto"/>
                <w:sz w:val="21"/>
                <w:szCs w:val="21"/>
                <w:highlight w:val="none"/>
                <w:lang w:val="en-US" w:eastAsia="zh-CN"/>
              </w:rPr>
            </w:pPr>
            <w:r>
              <w:rPr>
                <w:rFonts w:hint="eastAsia"/>
                <w:color w:val="auto"/>
                <w:sz w:val="21"/>
                <w:szCs w:val="21"/>
                <w:lang w:val="en-US" w:eastAsia="zh-CN"/>
              </w:rPr>
              <w:t>本项目的危险废物主要有上漆时产生的漆渣、底漆打磨产生的底漆打磨粉</w:t>
            </w:r>
            <w:r>
              <w:rPr>
                <w:rFonts w:hint="eastAsia"/>
                <w:color w:val="auto"/>
                <w:sz w:val="21"/>
                <w:szCs w:val="21"/>
                <w:highlight w:val="none"/>
                <w:lang w:val="en-US" w:eastAsia="zh-CN"/>
              </w:rPr>
              <w:t>尘以及废活性炭。</w:t>
            </w:r>
          </w:p>
          <w:p w14:paraId="58006F29">
            <w:pPr>
              <w:pStyle w:val="2"/>
              <w:spacing w:line="360" w:lineRule="auto"/>
              <w:ind w:firstLine="42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auto"/>
                <w:sz w:val="21"/>
                <w:szCs w:val="21"/>
                <w:lang w:val="en-US" w:eastAsia="zh-CN"/>
              </w:rPr>
              <w:t>根据迁建前的扩建项目环保竣工验收报告，</w:t>
            </w:r>
            <w:r>
              <w:rPr>
                <w:rFonts w:hint="eastAsia"/>
                <w:color w:val="auto"/>
                <w:sz w:val="21"/>
                <w:szCs w:val="21"/>
                <w:lang w:val="en-US" w:eastAsia="zh-CN"/>
              </w:rPr>
              <w:t>漆渣</w:t>
            </w:r>
            <w:r>
              <w:rPr>
                <w:rFonts w:hint="default" w:ascii="Times New Roman" w:hAnsi="Times New Roman" w:cs="Times New Roman"/>
                <w:b w:val="0"/>
                <w:bCs w:val="0"/>
                <w:color w:val="auto"/>
                <w:sz w:val="21"/>
                <w:szCs w:val="21"/>
                <w:lang w:val="en-US" w:eastAsia="zh-CN"/>
              </w:rPr>
              <w:t>、</w:t>
            </w:r>
            <w:r>
              <w:rPr>
                <w:rFonts w:hint="eastAsia"/>
                <w:color w:val="auto"/>
                <w:sz w:val="21"/>
                <w:szCs w:val="21"/>
                <w:lang w:val="en-US" w:eastAsia="zh-CN"/>
              </w:rPr>
              <w:t>底漆打磨粉尘</w:t>
            </w:r>
            <w:r>
              <w:rPr>
                <w:rFonts w:hint="default" w:ascii="Times New Roman" w:hAnsi="Times New Roman" w:cs="Times New Roman"/>
                <w:color w:val="000000" w:themeColor="text1"/>
                <w:lang w:val="en-US" w:eastAsia="zh-CN"/>
                <w14:textFill>
                  <w14:solidFill>
                    <w14:schemeClr w14:val="tx1"/>
                  </w14:solidFill>
                </w14:textFill>
              </w:rPr>
              <w:t>的产生量分别为</w:t>
            </w:r>
            <w:r>
              <w:rPr>
                <w:rFonts w:hint="eastAsia" w:ascii="Times New Roman" w:hAnsi="Times New Roman" w:cs="Times New Roman"/>
                <w:color w:val="000000" w:themeColor="text1"/>
                <w:lang w:val="en-US" w:eastAsia="zh-CN"/>
                <w14:textFill>
                  <w14:solidFill>
                    <w14:schemeClr w14:val="tx1"/>
                  </w14:solidFill>
                </w14:textFill>
              </w:rPr>
              <w:t>0.551</w:t>
            </w:r>
            <w:r>
              <w:rPr>
                <w:rFonts w:hint="default" w:ascii="Times New Roman" w:hAnsi="Times New Roman" w:cs="Times New Roman"/>
                <w:color w:val="000000" w:themeColor="text1"/>
                <w:lang w:val="en-US" w:eastAsia="zh-CN"/>
                <w14:textFill>
                  <w14:solidFill>
                    <w14:schemeClr w14:val="tx1"/>
                  </w14:solidFill>
                </w14:textFill>
              </w:rPr>
              <w:t>t/a、</w:t>
            </w:r>
            <w:r>
              <w:rPr>
                <w:rFonts w:hint="eastAsia" w:ascii="Times New Roman" w:hAnsi="Times New Roman" w:cs="Times New Roman"/>
                <w:color w:val="000000" w:themeColor="text1"/>
                <w:lang w:val="en-US" w:eastAsia="zh-CN"/>
                <w14:textFill>
                  <w14:solidFill>
                    <w14:schemeClr w14:val="tx1"/>
                  </w14:solidFill>
                </w14:textFill>
              </w:rPr>
              <w:t>0.0785</w:t>
            </w:r>
            <w:r>
              <w:rPr>
                <w:rFonts w:hint="default" w:ascii="Times New Roman" w:hAnsi="Times New Roman" w:cs="Times New Roman"/>
                <w:color w:val="000000" w:themeColor="text1"/>
                <w:lang w:val="en-US" w:eastAsia="zh-CN"/>
                <w14:textFill>
                  <w14:solidFill>
                    <w14:schemeClr w14:val="tx1"/>
                  </w14:solidFill>
                </w14:textFill>
              </w:rPr>
              <w:t>t/a。</w:t>
            </w:r>
          </w:p>
          <w:p w14:paraId="3E00E7DF">
            <w:pPr>
              <w:spacing w:line="360" w:lineRule="auto"/>
              <w:rPr>
                <w:rFonts w:hint="default"/>
                <w:lang w:val="en-US" w:eastAsia="zh-CN"/>
              </w:rPr>
            </w:pPr>
            <w:r>
              <w:rPr>
                <w:rFonts w:hint="default"/>
                <w:lang w:val="en-US" w:eastAsia="zh-CN"/>
              </w:rPr>
              <w:t>项目</w:t>
            </w:r>
            <w:r>
              <w:rPr>
                <w:rFonts w:hint="eastAsia"/>
                <w:lang w:val="en-US" w:eastAsia="zh-CN"/>
              </w:rPr>
              <w:t>有机</w:t>
            </w:r>
            <w:r>
              <w:rPr>
                <w:rFonts w:hint="default"/>
                <w:lang w:val="en-US" w:eastAsia="zh-CN"/>
              </w:rPr>
              <w:t>废气处理过程会产生一定的废活性炭，根据中国建筑出版社（1997）出版的《简明通风设计手册》第十章中关于活性吸附处理治理废气的方法中提供的数据：每 1.0kg活性炭纤维吸附有机废气的平衡量为0.43~0.61kg，本项目按1t活性炭吸附0.5t有机废气计算。</w:t>
            </w:r>
          </w:p>
          <w:p w14:paraId="0404119D">
            <w:pPr>
              <w:spacing w:line="360" w:lineRule="auto"/>
              <w:rPr>
                <w:rFonts w:hint="default"/>
                <w:lang w:val="en-US" w:eastAsia="zh-CN"/>
              </w:rPr>
            </w:pPr>
            <w:r>
              <w:rPr>
                <w:rFonts w:hint="default"/>
                <w:lang w:val="en-US" w:eastAsia="zh-CN"/>
              </w:rPr>
              <w:t>根据</w:t>
            </w:r>
            <w:r>
              <w:rPr>
                <w:rFonts w:hint="eastAsia"/>
                <w:lang w:val="en-US" w:eastAsia="zh-CN"/>
              </w:rPr>
              <w:t>“</w:t>
            </w:r>
            <w:r>
              <w:rPr>
                <w:rFonts w:hint="default"/>
                <w:lang w:val="en-US" w:eastAsia="zh-CN"/>
              </w:rPr>
              <w:t>表4-6项目废气产排情况一览表</w:t>
            </w:r>
            <w:r>
              <w:rPr>
                <w:rFonts w:hint="eastAsia"/>
                <w:lang w:val="en-US" w:eastAsia="zh-CN"/>
              </w:rPr>
              <w:t>”</w:t>
            </w:r>
            <w:r>
              <w:rPr>
                <w:rFonts w:hint="default"/>
                <w:lang w:val="en-US" w:eastAsia="zh-CN"/>
              </w:rPr>
              <w:t>，DA001废气处理设施</w:t>
            </w:r>
            <w:r>
              <w:rPr>
                <w:rFonts w:hint="eastAsia"/>
                <w:lang w:val="en-US" w:eastAsia="zh-CN"/>
              </w:rPr>
              <w:t>的</w:t>
            </w:r>
            <w:r>
              <w:rPr>
                <w:rFonts w:hint="default"/>
                <w:lang w:val="en-US" w:eastAsia="zh-CN"/>
              </w:rPr>
              <w:t>有机废气</w:t>
            </w:r>
            <w:r>
              <w:rPr>
                <w:rFonts w:hint="eastAsia"/>
                <w:lang w:val="en-US" w:eastAsia="zh-CN"/>
              </w:rPr>
              <w:t>处理</w:t>
            </w:r>
            <w:r>
              <w:rPr>
                <w:rFonts w:hint="default"/>
                <w:lang w:val="en-US" w:eastAsia="zh-CN"/>
              </w:rPr>
              <w:t>量分别为1.4896t。每1.0kg活性炭纤维吸附有机废气的平衡量为0.43~0.61kg，本项目按1t活性炭吸附0.5t有机废气计算，则项目分别需要消耗新鲜活性炭量为</w:t>
            </w:r>
            <w:r>
              <w:rPr>
                <w:rFonts w:hint="eastAsia"/>
                <w:lang w:val="en-US" w:eastAsia="zh-CN"/>
              </w:rPr>
              <w:t>2.9792</w:t>
            </w:r>
            <w:r>
              <w:rPr>
                <w:rFonts w:hint="default"/>
                <w:lang w:val="en-US" w:eastAsia="zh-CN"/>
              </w:rPr>
              <w:t>t/a。</w:t>
            </w:r>
          </w:p>
          <w:p w14:paraId="32A912E7">
            <w:pPr>
              <w:spacing w:line="360" w:lineRule="auto"/>
              <w:rPr>
                <w:rFonts w:hint="default"/>
                <w:lang w:val="en-US" w:eastAsia="zh-CN"/>
              </w:rPr>
            </w:pPr>
            <w:r>
              <w:rPr>
                <w:rFonts w:hint="default"/>
                <w:lang w:val="en-US" w:eastAsia="zh-CN"/>
              </w:rPr>
              <w:t>项目活性炭箱采用统一规格，单次填充量约</w:t>
            </w:r>
            <w:r>
              <w:rPr>
                <w:rFonts w:hint="eastAsia"/>
                <w:lang w:val="en-US" w:eastAsia="zh-CN"/>
              </w:rPr>
              <w:t>2.0</w:t>
            </w:r>
            <w:r>
              <w:rPr>
                <w:rFonts w:hint="default"/>
                <w:lang w:val="en-US" w:eastAsia="zh-CN"/>
              </w:rPr>
              <w:t>t的蜂窝碳，平均每</w:t>
            </w:r>
            <w:r>
              <w:rPr>
                <w:rFonts w:hint="eastAsia"/>
                <w:lang w:val="en-US" w:eastAsia="zh-CN"/>
              </w:rPr>
              <w:t>半</w:t>
            </w:r>
            <w:r>
              <w:rPr>
                <w:rFonts w:hint="default"/>
                <w:lang w:val="en-US" w:eastAsia="zh-CN"/>
              </w:rPr>
              <w:t xml:space="preserve">年更换一次，则项目年产生废活性炭量为 </w:t>
            </w:r>
            <w:r>
              <w:rPr>
                <w:rFonts w:hint="eastAsia"/>
                <w:lang w:val="en-US" w:eastAsia="zh-CN"/>
              </w:rPr>
              <w:t>4.0</w:t>
            </w:r>
            <w:r>
              <w:rPr>
                <w:rFonts w:hint="default"/>
                <w:lang w:val="en-US" w:eastAsia="zh-CN"/>
              </w:rPr>
              <w:t>t/a。</w:t>
            </w:r>
          </w:p>
          <w:p w14:paraId="2F2BB194">
            <w:pPr>
              <w:spacing w:line="360" w:lineRule="auto"/>
              <w:rPr>
                <w:rFonts w:hint="default"/>
                <w:lang w:val="en-US" w:eastAsia="zh-CN"/>
              </w:rPr>
            </w:pPr>
            <w:r>
              <w:rPr>
                <w:rFonts w:hint="default"/>
                <w:lang w:val="en-US" w:eastAsia="zh-CN"/>
              </w:rPr>
              <w:t>根据《国家危险废物名录》（2021年），废弃活性炭吸附饱和物属于危险废物，废物类别为 HW49 其他废物，废物代码 900-039-49。暂存于危废间，委托有资质单位处置</w:t>
            </w:r>
            <w:r>
              <w:rPr>
                <w:rFonts w:hint="eastAsia"/>
                <w:lang w:val="en-US" w:eastAsia="zh-CN"/>
              </w:rPr>
              <w:t>。</w:t>
            </w:r>
          </w:p>
          <w:p w14:paraId="6BEE4132">
            <w:pPr>
              <w:pStyle w:val="6"/>
              <w:spacing w:line="360" w:lineRule="auto"/>
              <w:rPr>
                <w:rFonts w:hint="eastAsia" w:ascii="Times New Roman" w:hAnsi="Times New Roman" w:cs="Times New Roman"/>
                <w:b/>
                <w:bCs/>
                <w:lang w:val="en-US" w:eastAsia="zh-CN"/>
              </w:rPr>
            </w:pPr>
            <w:r>
              <w:rPr>
                <w:rFonts w:hint="eastAsia" w:cs="Times New Roman"/>
                <w:b/>
                <w:bCs/>
                <w:lang w:val="en-US" w:eastAsia="zh-CN"/>
              </w:rPr>
              <w:t>c.</w:t>
            </w:r>
            <w:r>
              <w:rPr>
                <w:rFonts w:hint="eastAsia" w:ascii="Times New Roman" w:hAnsi="Times New Roman" w:cs="Times New Roman"/>
                <w:b/>
                <w:bCs/>
                <w:lang w:val="en-US" w:eastAsia="zh-CN"/>
              </w:rPr>
              <w:t>生活垃圾</w:t>
            </w:r>
          </w:p>
          <w:p w14:paraId="2589AEC4">
            <w:pPr>
              <w:rPr>
                <w:rFonts w:hint="eastAsia" w:ascii="Times New Roman" w:hAnsi="Times New Roman" w:cs="Times New Roman"/>
                <w:lang w:val="en-US" w:eastAsia="zh-CN"/>
              </w:rPr>
            </w:pPr>
            <w:r>
              <w:rPr>
                <w:rFonts w:hint="eastAsia" w:ascii="Times New Roman" w:hAnsi="Times New Roman" w:cs="Times New Roman"/>
                <w:lang w:val="en-US" w:eastAsia="zh-CN"/>
              </w:rPr>
              <w:t>生活垃圾产量计算方式如下</w:t>
            </w:r>
          </w:p>
          <w:p w14:paraId="4007751C">
            <w:pPr>
              <w:spacing w:line="360" w:lineRule="auto"/>
              <w:ind w:firstLine="0"/>
              <w:jc w:val="center"/>
              <w:rPr>
                <w:rFonts w:eastAsia="宋体"/>
                <w:color w:val="auto"/>
                <w:sz w:val="21"/>
                <w:szCs w:val="21"/>
              </w:rPr>
            </w:pPr>
            <w:r>
              <w:rPr>
                <w:rFonts w:hint="eastAsia" w:eastAsia="宋体"/>
                <w:color w:val="auto"/>
                <w:sz w:val="21"/>
                <w:szCs w:val="21"/>
              </w:rPr>
              <w:t>G=K</w:t>
            </w:r>
            <w:r>
              <w:rPr>
                <w:rFonts w:eastAsia="宋体"/>
                <w:color w:val="auto"/>
                <w:sz w:val="21"/>
                <w:szCs w:val="21"/>
              </w:rPr>
              <w:t>•</w:t>
            </w:r>
            <w:r>
              <w:rPr>
                <w:rFonts w:hint="eastAsia" w:eastAsia="宋体"/>
                <w:color w:val="auto"/>
                <w:sz w:val="21"/>
                <w:szCs w:val="21"/>
              </w:rPr>
              <w:t>N</w:t>
            </w:r>
            <w:r>
              <w:rPr>
                <w:rFonts w:eastAsia="宋体"/>
                <w:color w:val="auto"/>
                <w:sz w:val="21"/>
                <w:szCs w:val="21"/>
              </w:rPr>
              <w:t>•</w:t>
            </w:r>
            <w:r>
              <w:rPr>
                <w:rFonts w:hint="eastAsia" w:eastAsia="宋体"/>
                <w:color w:val="auto"/>
                <w:sz w:val="21"/>
                <w:szCs w:val="21"/>
              </w:rPr>
              <w:t>D×10</w:t>
            </w:r>
            <w:r>
              <w:rPr>
                <w:rFonts w:hint="eastAsia" w:eastAsia="宋体"/>
                <w:color w:val="auto"/>
                <w:sz w:val="21"/>
                <w:szCs w:val="21"/>
                <w:vertAlign w:val="superscript"/>
              </w:rPr>
              <w:t>-3</w:t>
            </w:r>
          </w:p>
          <w:p w14:paraId="7252A17B">
            <w:pPr>
              <w:spacing w:line="360" w:lineRule="auto"/>
              <w:ind w:firstLine="420" w:firstLineChars="200"/>
              <w:rPr>
                <w:rFonts w:eastAsia="宋体"/>
                <w:color w:val="auto"/>
                <w:sz w:val="21"/>
                <w:szCs w:val="21"/>
              </w:rPr>
            </w:pPr>
            <w:r>
              <w:rPr>
                <w:rFonts w:hint="eastAsia" w:eastAsia="宋体"/>
                <w:color w:val="auto"/>
                <w:sz w:val="21"/>
                <w:szCs w:val="21"/>
              </w:rPr>
              <w:t>其中：G——生活垃圾产生量（t/a）；</w:t>
            </w:r>
          </w:p>
          <w:p w14:paraId="17EE6F7F">
            <w:pPr>
              <w:spacing w:line="360" w:lineRule="auto"/>
              <w:ind w:firstLine="420" w:firstLineChars="200"/>
              <w:rPr>
                <w:rFonts w:eastAsia="宋体"/>
                <w:color w:val="auto"/>
                <w:sz w:val="21"/>
                <w:szCs w:val="21"/>
              </w:rPr>
            </w:pPr>
            <w:r>
              <w:rPr>
                <w:rFonts w:hint="eastAsia" w:eastAsia="宋体"/>
                <w:color w:val="auto"/>
                <w:sz w:val="21"/>
                <w:szCs w:val="21"/>
              </w:rPr>
              <w:t xml:space="preserve">      K——人均排放系数（kg/人</w:t>
            </w:r>
            <w:r>
              <w:rPr>
                <w:rFonts w:eastAsia="宋体"/>
                <w:color w:val="auto"/>
                <w:sz w:val="21"/>
                <w:szCs w:val="21"/>
              </w:rPr>
              <w:t>•</w:t>
            </w:r>
            <w:r>
              <w:rPr>
                <w:rFonts w:hint="eastAsia" w:eastAsia="宋体"/>
                <w:color w:val="auto"/>
                <w:sz w:val="21"/>
                <w:szCs w:val="21"/>
              </w:rPr>
              <w:t>天）；</w:t>
            </w:r>
          </w:p>
          <w:p w14:paraId="44DC8488">
            <w:pPr>
              <w:spacing w:line="360" w:lineRule="auto"/>
              <w:ind w:firstLine="420" w:firstLineChars="200"/>
              <w:rPr>
                <w:rFonts w:eastAsia="宋体"/>
                <w:color w:val="auto"/>
                <w:sz w:val="21"/>
                <w:szCs w:val="21"/>
              </w:rPr>
            </w:pPr>
            <w:r>
              <w:rPr>
                <w:rFonts w:hint="eastAsia" w:eastAsia="宋体"/>
                <w:color w:val="auto"/>
                <w:sz w:val="21"/>
                <w:szCs w:val="21"/>
              </w:rPr>
              <w:t xml:space="preserve">      N——人口数（人）；</w:t>
            </w:r>
          </w:p>
          <w:p w14:paraId="62732E6B">
            <w:pPr>
              <w:spacing w:line="360" w:lineRule="auto"/>
              <w:ind w:firstLine="420" w:firstLineChars="200"/>
              <w:rPr>
                <w:rFonts w:eastAsia="宋体"/>
                <w:color w:val="auto"/>
                <w:sz w:val="21"/>
                <w:szCs w:val="21"/>
              </w:rPr>
            </w:pPr>
            <w:r>
              <w:rPr>
                <w:rFonts w:hint="eastAsia" w:eastAsia="宋体"/>
                <w:color w:val="auto"/>
                <w:sz w:val="21"/>
                <w:szCs w:val="21"/>
              </w:rPr>
              <w:t xml:space="preserve">      D——年工作天数（天）。</w:t>
            </w:r>
          </w:p>
          <w:p w14:paraId="03C71664">
            <w:pPr>
              <w:spacing w:line="360" w:lineRule="auto"/>
              <w:ind w:firstLine="420" w:firstLineChars="200"/>
              <w:rPr>
                <w:rFonts w:hint="default"/>
                <w:lang w:val="en-US" w:eastAsia="zh-CN"/>
              </w:rPr>
            </w:pPr>
            <w:r>
              <w:rPr>
                <w:rFonts w:hint="eastAsia" w:ascii="Times New Roman" w:hAnsi="Times New Roman" w:eastAsia="宋体" w:cs="Times New Roman"/>
                <w:color w:val="auto"/>
                <w:sz w:val="21"/>
                <w:szCs w:val="21"/>
                <w:lang w:val="en-US" w:eastAsia="zh-CN"/>
              </w:rPr>
              <w:t>综合考虑</w:t>
            </w:r>
            <w:r>
              <w:rPr>
                <w:rFonts w:hint="eastAsia" w:ascii="Times New Roman" w:hAnsi="Times New Roman" w:cs="Times New Roman"/>
                <w:color w:val="auto"/>
                <w:sz w:val="21"/>
                <w:szCs w:val="21"/>
                <w:lang w:val="en-US" w:eastAsia="zh-CN"/>
              </w:rPr>
              <w:t>《社会区域类环境影响评价》和《第一次全国污染源普查城镇生活源产排污系数手册》</w:t>
            </w:r>
            <w:r>
              <w:rPr>
                <w:rFonts w:hint="eastAsia" w:eastAsia="宋体"/>
                <w:color w:val="auto"/>
                <w:sz w:val="21"/>
                <w:szCs w:val="21"/>
              </w:rPr>
              <w:t>，</w:t>
            </w:r>
            <w:r>
              <w:rPr>
                <w:rFonts w:hint="eastAsia" w:eastAsia="宋体"/>
                <w:color w:val="auto"/>
                <w:sz w:val="21"/>
                <w:szCs w:val="21"/>
                <w:lang w:eastAsia="zh-CN"/>
              </w:rPr>
              <w:t>住厂职工生活垃圾排放系数</w:t>
            </w:r>
            <w:r>
              <w:rPr>
                <w:rFonts w:hint="eastAsia" w:eastAsia="宋体"/>
                <w:color w:val="auto"/>
                <w:sz w:val="21"/>
                <w:szCs w:val="21"/>
              </w:rPr>
              <w:t>K=</w:t>
            </w:r>
            <w:r>
              <w:rPr>
                <w:rFonts w:hint="eastAsia" w:eastAsia="宋体"/>
                <w:color w:val="auto"/>
                <w:sz w:val="21"/>
                <w:szCs w:val="21"/>
                <w:lang w:val="en-US" w:eastAsia="zh-CN"/>
              </w:rPr>
              <w:t>1.0</w:t>
            </w:r>
            <w:r>
              <w:rPr>
                <w:rFonts w:hint="eastAsia" w:eastAsia="宋体"/>
                <w:color w:val="auto"/>
                <w:sz w:val="21"/>
                <w:szCs w:val="21"/>
              </w:rPr>
              <w:t>kg/人</w:t>
            </w:r>
            <w:r>
              <w:rPr>
                <w:rFonts w:eastAsia="宋体"/>
                <w:color w:val="auto"/>
                <w:sz w:val="21"/>
                <w:szCs w:val="21"/>
              </w:rPr>
              <w:t>•</w:t>
            </w:r>
            <w:r>
              <w:rPr>
                <w:rFonts w:hint="eastAsia" w:eastAsia="宋体"/>
                <w:color w:val="auto"/>
                <w:sz w:val="21"/>
                <w:szCs w:val="21"/>
              </w:rPr>
              <w:t>天</w:t>
            </w:r>
            <w:r>
              <w:rPr>
                <w:rFonts w:hint="eastAsia" w:eastAsia="宋体"/>
                <w:color w:val="auto"/>
                <w:sz w:val="21"/>
                <w:szCs w:val="21"/>
                <w:lang w:eastAsia="zh-CN"/>
              </w:rPr>
              <w:t>、</w:t>
            </w:r>
            <w:r>
              <w:rPr>
                <w:rFonts w:hint="eastAsia" w:eastAsia="宋体"/>
                <w:color w:val="auto"/>
                <w:sz w:val="21"/>
                <w:szCs w:val="21"/>
              </w:rPr>
              <w:t>不住厂职工生活垃圾排放系数取K=0.5kg/人</w:t>
            </w:r>
            <w:r>
              <w:rPr>
                <w:rFonts w:eastAsia="宋体"/>
                <w:color w:val="auto"/>
                <w:sz w:val="21"/>
                <w:szCs w:val="21"/>
              </w:rPr>
              <w:t>•</w:t>
            </w:r>
            <w:r>
              <w:rPr>
                <w:rFonts w:hint="eastAsia" w:eastAsia="宋体"/>
                <w:color w:val="auto"/>
                <w:sz w:val="21"/>
                <w:szCs w:val="21"/>
              </w:rPr>
              <w:t>天，项目职工</w:t>
            </w:r>
            <w:r>
              <w:rPr>
                <w:rFonts w:hint="eastAsia"/>
                <w:color w:val="auto"/>
                <w:sz w:val="21"/>
                <w:szCs w:val="21"/>
                <w:lang w:val="en-US" w:eastAsia="zh-CN"/>
              </w:rPr>
              <w:t>40</w:t>
            </w:r>
            <w:r>
              <w:rPr>
                <w:rFonts w:hint="eastAsia" w:eastAsia="宋体"/>
                <w:color w:val="auto"/>
                <w:sz w:val="21"/>
                <w:szCs w:val="21"/>
                <w:lang w:eastAsia="zh-CN"/>
              </w:rPr>
              <w:t>人</w:t>
            </w:r>
            <w:r>
              <w:rPr>
                <w:rFonts w:hint="eastAsia" w:eastAsia="宋体"/>
                <w:color w:val="auto"/>
                <w:sz w:val="21"/>
                <w:szCs w:val="21"/>
              </w:rPr>
              <w:t>，</w:t>
            </w:r>
            <w:r>
              <w:rPr>
                <w:rFonts w:hint="eastAsia"/>
                <w:color w:val="auto"/>
                <w:sz w:val="21"/>
                <w:szCs w:val="21"/>
                <w:lang w:val="en-US" w:eastAsia="zh-CN"/>
              </w:rPr>
              <w:t>厂内住宿</w:t>
            </w:r>
            <w:r>
              <w:rPr>
                <w:rFonts w:hint="eastAsia" w:eastAsia="宋体"/>
                <w:color w:val="auto"/>
                <w:sz w:val="21"/>
                <w:szCs w:val="21"/>
                <w:lang w:val="en-US" w:eastAsia="zh-CN"/>
              </w:rPr>
              <w:t>，</w:t>
            </w:r>
            <w:r>
              <w:rPr>
                <w:rFonts w:hint="eastAsia" w:eastAsia="宋体"/>
                <w:color w:val="auto"/>
                <w:sz w:val="21"/>
                <w:szCs w:val="21"/>
              </w:rPr>
              <w:t>按</w:t>
            </w:r>
            <w:r>
              <w:rPr>
                <w:rFonts w:hint="eastAsia" w:eastAsia="宋体"/>
                <w:color w:val="auto"/>
                <w:sz w:val="21"/>
                <w:szCs w:val="21"/>
                <w:lang w:val="en-US" w:eastAsia="zh-CN"/>
              </w:rPr>
              <w:t>300</w:t>
            </w:r>
            <w:r>
              <w:rPr>
                <w:rFonts w:hint="eastAsia" w:eastAsia="宋体"/>
                <w:color w:val="auto"/>
                <w:sz w:val="21"/>
                <w:szCs w:val="21"/>
              </w:rPr>
              <w:t>天/年计，则项目生活垃圾产生量为</w:t>
            </w:r>
            <w:r>
              <w:rPr>
                <w:rFonts w:hint="eastAsia"/>
                <w:color w:val="auto"/>
                <w:sz w:val="21"/>
                <w:szCs w:val="21"/>
                <w:lang w:val="en-US" w:eastAsia="zh-CN"/>
              </w:rPr>
              <w:t>12.0</w:t>
            </w:r>
            <w:r>
              <w:rPr>
                <w:rFonts w:hint="eastAsia" w:eastAsia="宋体"/>
                <w:color w:val="auto"/>
                <w:sz w:val="21"/>
                <w:szCs w:val="21"/>
              </w:rPr>
              <w:t>t/a。</w:t>
            </w:r>
          </w:p>
          <w:p w14:paraId="43390D2F">
            <w:pPr>
              <w:spacing w:line="360" w:lineRule="auto"/>
              <w:jc w:val="both"/>
              <w:rPr>
                <w:rFonts w:hint="default" w:eastAsia="宋体"/>
                <w:lang w:val="en-US" w:eastAsia="zh-CN"/>
              </w:rPr>
            </w:pPr>
            <w:r>
              <w:rPr>
                <w:rFonts w:hint="eastAsia"/>
                <w:lang w:val="en-US" w:eastAsia="zh-CN"/>
              </w:rPr>
              <w:t>项目固体废物产生情况见表4-15。</w:t>
            </w:r>
          </w:p>
          <w:p w14:paraId="36C6EF02">
            <w:pPr>
              <w:widowControl w:val="0"/>
              <w:wordWrap/>
              <w:adjustRightInd/>
              <w:snapToGrid/>
              <w:spacing w:line="360" w:lineRule="auto"/>
              <w:ind w:firstLine="0" w:firstLineChars="0"/>
              <w:jc w:val="center"/>
              <w:textAlignment w:val="auto"/>
              <w:rPr>
                <w:rFonts w:hint="eastAsia"/>
                <w:b/>
                <w:bCs/>
                <w:lang w:val="en-US" w:eastAsia="zh-CN"/>
              </w:rPr>
            </w:pPr>
            <w:r>
              <w:rPr>
                <w:rFonts w:hint="eastAsia"/>
                <w:b/>
                <w:bCs/>
                <w:lang w:val="en-US" w:eastAsia="zh-CN"/>
              </w:rPr>
              <w:t>表4-15  固体废物产生情况一览表</w:t>
            </w:r>
          </w:p>
          <w:tbl>
            <w:tblPr>
              <w:tblStyle w:val="17"/>
              <w:tblW w:w="79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03"/>
              <w:gridCol w:w="1416"/>
              <w:gridCol w:w="883"/>
              <w:gridCol w:w="884"/>
              <w:gridCol w:w="1158"/>
              <w:gridCol w:w="916"/>
              <w:gridCol w:w="916"/>
              <w:gridCol w:w="1379"/>
            </w:tblGrid>
            <w:tr w14:paraId="50DB6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403" w:type="dxa"/>
                  <w:vAlign w:val="center"/>
                </w:tcPr>
                <w:p w14:paraId="32B7D218">
                  <w:pPr>
                    <w:pStyle w:val="57"/>
                    <w:spacing w:line="240" w:lineRule="auto"/>
                    <w:rPr>
                      <w:b/>
                      <w:bCs/>
                      <w:color w:val="000000"/>
                      <w:sz w:val="18"/>
                      <w:szCs w:val="18"/>
                    </w:rPr>
                  </w:pPr>
                  <w:r>
                    <w:rPr>
                      <w:b/>
                      <w:bCs/>
                      <w:color w:val="000000"/>
                      <w:sz w:val="18"/>
                      <w:szCs w:val="18"/>
                    </w:rPr>
                    <w:t>序号</w:t>
                  </w:r>
                </w:p>
              </w:tc>
              <w:tc>
                <w:tcPr>
                  <w:tcW w:w="1416" w:type="dxa"/>
                  <w:vAlign w:val="center"/>
                </w:tcPr>
                <w:p w14:paraId="52CCB72B">
                  <w:pPr>
                    <w:pStyle w:val="57"/>
                    <w:spacing w:line="240" w:lineRule="auto"/>
                    <w:rPr>
                      <w:b/>
                      <w:bCs/>
                      <w:color w:val="000000"/>
                      <w:sz w:val="18"/>
                      <w:szCs w:val="18"/>
                    </w:rPr>
                  </w:pPr>
                  <w:r>
                    <w:rPr>
                      <w:b/>
                      <w:bCs/>
                      <w:color w:val="000000"/>
                      <w:sz w:val="18"/>
                      <w:szCs w:val="18"/>
                    </w:rPr>
                    <w:t>固废名称</w:t>
                  </w:r>
                </w:p>
              </w:tc>
              <w:tc>
                <w:tcPr>
                  <w:tcW w:w="883" w:type="dxa"/>
                  <w:vAlign w:val="center"/>
                </w:tcPr>
                <w:p w14:paraId="1CED9D5C">
                  <w:pPr>
                    <w:pStyle w:val="57"/>
                    <w:spacing w:line="240" w:lineRule="auto"/>
                    <w:rPr>
                      <w:b/>
                      <w:bCs/>
                      <w:color w:val="000000"/>
                      <w:sz w:val="18"/>
                      <w:szCs w:val="18"/>
                    </w:rPr>
                  </w:pPr>
                  <w:r>
                    <w:rPr>
                      <w:b/>
                      <w:bCs/>
                      <w:color w:val="000000"/>
                      <w:sz w:val="18"/>
                      <w:szCs w:val="18"/>
                    </w:rPr>
                    <w:t>来源</w:t>
                  </w:r>
                </w:p>
              </w:tc>
              <w:tc>
                <w:tcPr>
                  <w:tcW w:w="884" w:type="dxa"/>
                  <w:vAlign w:val="center"/>
                </w:tcPr>
                <w:p w14:paraId="4C815885">
                  <w:pPr>
                    <w:pStyle w:val="57"/>
                    <w:spacing w:line="240" w:lineRule="auto"/>
                    <w:rPr>
                      <w:b/>
                      <w:bCs/>
                      <w:color w:val="000000"/>
                      <w:sz w:val="18"/>
                      <w:szCs w:val="18"/>
                    </w:rPr>
                  </w:pPr>
                  <w:r>
                    <w:rPr>
                      <w:b/>
                      <w:bCs/>
                      <w:color w:val="000000"/>
                      <w:sz w:val="18"/>
                      <w:szCs w:val="18"/>
                    </w:rPr>
                    <w:t>形态</w:t>
                  </w:r>
                </w:p>
              </w:tc>
              <w:tc>
                <w:tcPr>
                  <w:tcW w:w="1158" w:type="dxa"/>
                  <w:vAlign w:val="center"/>
                </w:tcPr>
                <w:p w14:paraId="2B9FB3DB">
                  <w:pPr>
                    <w:pStyle w:val="57"/>
                    <w:spacing w:line="240" w:lineRule="auto"/>
                    <w:rPr>
                      <w:b/>
                      <w:bCs/>
                      <w:color w:val="000000"/>
                      <w:sz w:val="18"/>
                      <w:szCs w:val="18"/>
                    </w:rPr>
                  </w:pPr>
                  <w:r>
                    <w:rPr>
                      <w:b/>
                      <w:bCs/>
                      <w:color w:val="000000"/>
                      <w:sz w:val="18"/>
                      <w:szCs w:val="18"/>
                    </w:rPr>
                    <w:t>属性</w:t>
                  </w:r>
                </w:p>
              </w:tc>
              <w:tc>
                <w:tcPr>
                  <w:tcW w:w="916" w:type="dxa"/>
                  <w:vAlign w:val="center"/>
                </w:tcPr>
                <w:p w14:paraId="4B080B53">
                  <w:pPr>
                    <w:pStyle w:val="57"/>
                    <w:spacing w:line="240" w:lineRule="auto"/>
                    <w:rPr>
                      <w:b/>
                      <w:bCs/>
                      <w:color w:val="000000"/>
                      <w:sz w:val="18"/>
                      <w:szCs w:val="18"/>
                    </w:rPr>
                  </w:pPr>
                  <w:r>
                    <w:rPr>
                      <w:b/>
                      <w:bCs/>
                      <w:color w:val="000000"/>
                      <w:sz w:val="18"/>
                      <w:szCs w:val="18"/>
                    </w:rPr>
                    <w:t>产生量t/a</w:t>
                  </w:r>
                </w:p>
              </w:tc>
              <w:tc>
                <w:tcPr>
                  <w:tcW w:w="916" w:type="dxa"/>
                  <w:vAlign w:val="center"/>
                </w:tcPr>
                <w:p w14:paraId="3A779DDE">
                  <w:pPr>
                    <w:pStyle w:val="57"/>
                    <w:spacing w:line="240" w:lineRule="auto"/>
                    <w:rPr>
                      <w:b/>
                      <w:bCs/>
                      <w:color w:val="000000"/>
                      <w:sz w:val="18"/>
                      <w:szCs w:val="18"/>
                    </w:rPr>
                  </w:pPr>
                  <w:r>
                    <w:rPr>
                      <w:b/>
                      <w:bCs/>
                      <w:color w:val="000000"/>
                      <w:sz w:val="18"/>
                      <w:szCs w:val="18"/>
                    </w:rPr>
                    <w:t>处置量t/a</w:t>
                  </w:r>
                </w:p>
              </w:tc>
              <w:tc>
                <w:tcPr>
                  <w:tcW w:w="1379" w:type="dxa"/>
                  <w:vAlign w:val="center"/>
                </w:tcPr>
                <w:p w14:paraId="77C06662">
                  <w:pPr>
                    <w:pStyle w:val="57"/>
                    <w:spacing w:line="240" w:lineRule="auto"/>
                    <w:rPr>
                      <w:b/>
                      <w:bCs/>
                      <w:color w:val="000000"/>
                      <w:sz w:val="18"/>
                      <w:szCs w:val="18"/>
                    </w:rPr>
                  </w:pPr>
                  <w:r>
                    <w:rPr>
                      <w:rFonts w:hint="eastAsia"/>
                      <w:b/>
                      <w:bCs/>
                      <w:color w:val="000000"/>
                      <w:sz w:val="18"/>
                      <w:szCs w:val="18"/>
                    </w:rPr>
                    <w:t>实际</w:t>
                  </w:r>
                  <w:r>
                    <w:rPr>
                      <w:b/>
                      <w:bCs/>
                      <w:color w:val="000000"/>
                      <w:sz w:val="18"/>
                      <w:szCs w:val="18"/>
                    </w:rPr>
                    <w:t>处置方法</w:t>
                  </w:r>
                </w:p>
              </w:tc>
            </w:tr>
            <w:tr w14:paraId="37BE3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403" w:type="dxa"/>
                  <w:vAlign w:val="center"/>
                </w:tcPr>
                <w:p w14:paraId="7E31303D">
                  <w:pPr>
                    <w:pStyle w:val="57"/>
                    <w:spacing w:line="240" w:lineRule="auto"/>
                    <w:rPr>
                      <w:color w:val="000000"/>
                      <w:sz w:val="18"/>
                      <w:szCs w:val="18"/>
                    </w:rPr>
                  </w:pPr>
                  <w:r>
                    <w:rPr>
                      <w:color w:val="000000"/>
                      <w:sz w:val="18"/>
                      <w:szCs w:val="18"/>
                    </w:rPr>
                    <w:t>1</w:t>
                  </w:r>
                </w:p>
              </w:tc>
              <w:tc>
                <w:tcPr>
                  <w:tcW w:w="1416" w:type="dxa"/>
                  <w:vAlign w:val="center"/>
                </w:tcPr>
                <w:p w14:paraId="5F659C3F">
                  <w:pPr>
                    <w:pStyle w:val="57"/>
                    <w:spacing w:line="240" w:lineRule="auto"/>
                    <w:rPr>
                      <w:rFonts w:hint="eastAsia" w:eastAsia="宋体"/>
                      <w:color w:val="000000"/>
                      <w:sz w:val="18"/>
                      <w:szCs w:val="18"/>
                      <w:lang w:eastAsia="zh-CN"/>
                    </w:rPr>
                  </w:pPr>
                  <w:r>
                    <w:rPr>
                      <w:color w:val="000000"/>
                      <w:sz w:val="18"/>
                      <w:szCs w:val="18"/>
                    </w:rPr>
                    <w:t>生活垃圾</w:t>
                  </w:r>
                </w:p>
              </w:tc>
              <w:tc>
                <w:tcPr>
                  <w:tcW w:w="883" w:type="dxa"/>
                  <w:vAlign w:val="center"/>
                </w:tcPr>
                <w:p w14:paraId="2CEBA64F">
                  <w:pPr>
                    <w:pStyle w:val="57"/>
                    <w:spacing w:line="240" w:lineRule="auto"/>
                    <w:rPr>
                      <w:color w:val="000000"/>
                      <w:sz w:val="18"/>
                      <w:szCs w:val="18"/>
                    </w:rPr>
                  </w:pPr>
                  <w:r>
                    <w:rPr>
                      <w:color w:val="000000"/>
                      <w:sz w:val="18"/>
                      <w:szCs w:val="18"/>
                    </w:rPr>
                    <w:t>员工生活</w:t>
                  </w:r>
                </w:p>
              </w:tc>
              <w:tc>
                <w:tcPr>
                  <w:tcW w:w="884" w:type="dxa"/>
                  <w:vAlign w:val="center"/>
                </w:tcPr>
                <w:p w14:paraId="5E9C6B35">
                  <w:pPr>
                    <w:pStyle w:val="57"/>
                    <w:spacing w:line="240" w:lineRule="auto"/>
                    <w:rPr>
                      <w:color w:val="000000"/>
                      <w:sz w:val="18"/>
                      <w:szCs w:val="18"/>
                    </w:rPr>
                  </w:pPr>
                  <w:r>
                    <w:rPr>
                      <w:color w:val="000000"/>
                      <w:sz w:val="18"/>
                      <w:szCs w:val="18"/>
                    </w:rPr>
                    <w:t>固态</w:t>
                  </w:r>
                </w:p>
              </w:tc>
              <w:tc>
                <w:tcPr>
                  <w:tcW w:w="1158" w:type="dxa"/>
                  <w:vAlign w:val="center"/>
                </w:tcPr>
                <w:p w14:paraId="16AD4467">
                  <w:pPr>
                    <w:pStyle w:val="57"/>
                    <w:spacing w:line="240" w:lineRule="auto"/>
                    <w:rPr>
                      <w:rFonts w:hint="eastAsia" w:eastAsia="宋体"/>
                      <w:color w:val="000000"/>
                      <w:sz w:val="18"/>
                      <w:szCs w:val="18"/>
                      <w:lang w:eastAsia="zh-CN"/>
                    </w:rPr>
                  </w:pPr>
                  <w:r>
                    <w:rPr>
                      <w:color w:val="000000"/>
                      <w:sz w:val="18"/>
                      <w:szCs w:val="18"/>
                    </w:rPr>
                    <w:t>生活垃圾</w:t>
                  </w:r>
                </w:p>
              </w:tc>
              <w:tc>
                <w:tcPr>
                  <w:tcW w:w="916" w:type="dxa"/>
                  <w:vAlign w:val="center"/>
                </w:tcPr>
                <w:p w14:paraId="0A548BE0">
                  <w:pPr>
                    <w:keepNext w:val="0"/>
                    <w:keepLines w:val="0"/>
                    <w:widowControl/>
                    <w:suppressLineNumbers w:val="0"/>
                    <w:ind w:left="0" w:leftChars="0" w:firstLine="0" w:firstLineChars="0"/>
                    <w:jc w:val="center"/>
                    <w:textAlignment w:val="center"/>
                    <w:rPr>
                      <w:rFonts w:hint="default"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16" w:type="dxa"/>
                  <w:vAlign w:val="center"/>
                </w:tcPr>
                <w:p w14:paraId="19913DC0">
                  <w:pPr>
                    <w:keepNext w:val="0"/>
                    <w:keepLines w:val="0"/>
                    <w:widowControl/>
                    <w:suppressLineNumbers w:val="0"/>
                    <w:ind w:left="0" w:leftChars="0" w:firstLine="0" w:firstLineChars="0"/>
                    <w:jc w:val="center"/>
                    <w:textAlignment w:val="center"/>
                    <w:rPr>
                      <w:rFonts w:hint="default"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379" w:type="dxa"/>
                  <w:vAlign w:val="center"/>
                </w:tcPr>
                <w:p w14:paraId="65B62FA5">
                  <w:pPr>
                    <w:pStyle w:val="57"/>
                    <w:spacing w:line="240" w:lineRule="auto"/>
                    <w:rPr>
                      <w:rFonts w:hint="eastAsia" w:eastAsia="宋体"/>
                      <w:color w:val="000000"/>
                      <w:sz w:val="18"/>
                      <w:szCs w:val="18"/>
                      <w:lang w:eastAsia="zh-CN"/>
                    </w:rPr>
                  </w:pPr>
                  <w:r>
                    <w:rPr>
                      <w:rFonts w:hint="eastAsia"/>
                      <w:color w:val="000000"/>
                      <w:sz w:val="18"/>
                      <w:szCs w:val="18"/>
                      <w:lang w:eastAsia="zh-CN"/>
                    </w:rPr>
                    <w:t>环卫部门</w:t>
                  </w:r>
                  <w:r>
                    <w:rPr>
                      <w:color w:val="000000"/>
                      <w:sz w:val="18"/>
                      <w:szCs w:val="18"/>
                    </w:rPr>
                    <w:t>统一清运</w:t>
                  </w:r>
                  <w:r>
                    <w:rPr>
                      <w:rFonts w:hint="eastAsia"/>
                      <w:color w:val="000000"/>
                      <w:sz w:val="18"/>
                      <w:szCs w:val="18"/>
                      <w:lang w:eastAsia="zh-CN"/>
                    </w:rPr>
                    <w:t>处理</w:t>
                  </w:r>
                </w:p>
              </w:tc>
            </w:tr>
            <w:tr w14:paraId="5BD49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3" w:hRule="atLeast"/>
                <w:jc w:val="center"/>
              </w:trPr>
              <w:tc>
                <w:tcPr>
                  <w:tcW w:w="403" w:type="dxa"/>
                  <w:vMerge w:val="restart"/>
                  <w:vAlign w:val="center"/>
                </w:tcPr>
                <w:p w14:paraId="2AC4EB5C">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2</w:t>
                  </w:r>
                </w:p>
              </w:tc>
              <w:tc>
                <w:tcPr>
                  <w:tcW w:w="1416" w:type="dxa"/>
                  <w:vAlign w:val="center"/>
                </w:tcPr>
                <w:p w14:paraId="3CFD6F79">
                  <w:pPr>
                    <w:pStyle w:val="57"/>
                    <w:spacing w:line="240" w:lineRule="auto"/>
                    <w:jc w:val="center"/>
                    <w:rPr>
                      <w:rFonts w:hint="eastAsia" w:eastAsia="宋体"/>
                      <w:color w:val="000000"/>
                      <w:sz w:val="18"/>
                      <w:szCs w:val="18"/>
                      <w:lang w:eastAsia="zh-CN"/>
                    </w:rPr>
                  </w:pPr>
                  <w:r>
                    <w:rPr>
                      <w:rFonts w:hint="eastAsia" w:eastAsia="宋体"/>
                      <w:color w:val="000000"/>
                      <w:sz w:val="18"/>
                      <w:szCs w:val="18"/>
                      <w:lang w:eastAsia="zh-CN"/>
                    </w:rPr>
                    <w:t>废边角料</w:t>
                  </w:r>
                </w:p>
              </w:tc>
              <w:tc>
                <w:tcPr>
                  <w:tcW w:w="883" w:type="dxa"/>
                  <w:vMerge w:val="restart"/>
                  <w:vAlign w:val="center"/>
                </w:tcPr>
                <w:p w14:paraId="0D65830F">
                  <w:pPr>
                    <w:pStyle w:val="57"/>
                    <w:spacing w:line="240" w:lineRule="auto"/>
                    <w:jc w:val="both"/>
                    <w:rPr>
                      <w:rFonts w:hint="eastAsia" w:eastAsia="宋体"/>
                      <w:color w:val="000000"/>
                      <w:sz w:val="18"/>
                      <w:szCs w:val="18"/>
                      <w:lang w:eastAsia="zh-CN"/>
                    </w:rPr>
                  </w:pPr>
                  <w:r>
                    <w:rPr>
                      <w:rFonts w:hint="eastAsia"/>
                      <w:color w:val="000000"/>
                      <w:sz w:val="18"/>
                      <w:szCs w:val="18"/>
                      <w:lang w:eastAsia="zh-CN"/>
                    </w:rPr>
                    <w:t>生产过程</w:t>
                  </w:r>
                </w:p>
              </w:tc>
              <w:tc>
                <w:tcPr>
                  <w:tcW w:w="884" w:type="dxa"/>
                  <w:vMerge w:val="restart"/>
                  <w:vAlign w:val="center"/>
                </w:tcPr>
                <w:p w14:paraId="1FF37B60">
                  <w:pPr>
                    <w:pStyle w:val="57"/>
                    <w:spacing w:line="240" w:lineRule="auto"/>
                    <w:rPr>
                      <w:color w:val="000000"/>
                      <w:sz w:val="18"/>
                      <w:szCs w:val="18"/>
                    </w:rPr>
                  </w:pPr>
                  <w:r>
                    <w:rPr>
                      <w:color w:val="000000"/>
                      <w:sz w:val="18"/>
                      <w:szCs w:val="18"/>
                    </w:rPr>
                    <w:t>固态</w:t>
                  </w:r>
                </w:p>
              </w:tc>
              <w:tc>
                <w:tcPr>
                  <w:tcW w:w="1158" w:type="dxa"/>
                  <w:vMerge w:val="restart"/>
                  <w:vAlign w:val="center"/>
                </w:tcPr>
                <w:p w14:paraId="2BFCCE86">
                  <w:pPr>
                    <w:pStyle w:val="57"/>
                    <w:spacing w:line="240" w:lineRule="auto"/>
                    <w:rPr>
                      <w:color w:val="000000"/>
                      <w:sz w:val="18"/>
                      <w:szCs w:val="18"/>
                    </w:rPr>
                  </w:pPr>
                  <w:r>
                    <w:rPr>
                      <w:color w:val="000000"/>
                      <w:sz w:val="18"/>
                      <w:szCs w:val="18"/>
                    </w:rPr>
                    <w:t>一般</w:t>
                  </w:r>
                  <w:r>
                    <w:rPr>
                      <w:rFonts w:hint="eastAsia"/>
                      <w:color w:val="000000"/>
                      <w:sz w:val="18"/>
                      <w:szCs w:val="18"/>
                      <w:lang w:eastAsia="zh-CN"/>
                    </w:rPr>
                    <w:t>工业</w:t>
                  </w:r>
                  <w:r>
                    <w:rPr>
                      <w:color w:val="000000"/>
                      <w:sz w:val="18"/>
                      <w:szCs w:val="18"/>
                    </w:rPr>
                    <w:t>固废</w:t>
                  </w:r>
                </w:p>
              </w:tc>
              <w:tc>
                <w:tcPr>
                  <w:tcW w:w="916" w:type="dxa"/>
                  <w:vAlign w:val="center"/>
                </w:tcPr>
                <w:p w14:paraId="0B247D48">
                  <w:pPr>
                    <w:keepNext w:val="0"/>
                    <w:keepLines w:val="0"/>
                    <w:widowControl/>
                    <w:suppressLineNumbers w:val="0"/>
                    <w:ind w:left="0" w:leftChars="0" w:firstLine="0" w:firstLineChars="0"/>
                    <w:jc w:val="center"/>
                    <w:textAlignment w:val="center"/>
                    <w:rPr>
                      <w:rFonts w:hint="eastAsia"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0.464</w:t>
                  </w:r>
                </w:p>
              </w:tc>
              <w:tc>
                <w:tcPr>
                  <w:tcW w:w="916" w:type="dxa"/>
                  <w:vAlign w:val="center"/>
                </w:tcPr>
                <w:p w14:paraId="3F6443F4">
                  <w:pPr>
                    <w:keepNext w:val="0"/>
                    <w:keepLines w:val="0"/>
                    <w:widowControl/>
                    <w:suppressLineNumbers w:val="0"/>
                    <w:ind w:left="0" w:leftChars="0" w:firstLine="0" w:firstLineChars="0"/>
                    <w:jc w:val="center"/>
                    <w:textAlignment w:val="center"/>
                    <w:rPr>
                      <w:rFonts w:hint="eastAsia"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0.464</w:t>
                  </w:r>
                </w:p>
              </w:tc>
              <w:tc>
                <w:tcPr>
                  <w:tcW w:w="1379" w:type="dxa"/>
                  <w:vMerge w:val="restart"/>
                  <w:vAlign w:val="center"/>
                </w:tcPr>
                <w:p w14:paraId="55F29DBB">
                  <w:pPr>
                    <w:spacing w:line="240" w:lineRule="auto"/>
                    <w:ind w:left="0" w:leftChars="0" w:firstLine="0" w:firstLineChars="0"/>
                    <w:jc w:val="center"/>
                    <w:rPr>
                      <w:rFonts w:hint="eastAsia"/>
                      <w:lang w:eastAsia="zh-CN"/>
                    </w:rPr>
                  </w:pPr>
                  <w:r>
                    <w:rPr>
                      <w:rFonts w:hint="eastAsia" w:ascii="Times New Roman" w:hAnsi="Times New Roman" w:cs="Times New Roman"/>
                      <w:sz w:val="18"/>
                      <w:szCs w:val="18"/>
                      <w:lang w:val="en-US" w:eastAsia="zh-CN"/>
                    </w:rPr>
                    <w:t>委托外单位回收利用</w:t>
                  </w:r>
                </w:p>
              </w:tc>
            </w:tr>
            <w:tr w14:paraId="54B7E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403" w:type="dxa"/>
                  <w:vMerge w:val="continue"/>
                  <w:vAlign w:val="center"/>
                </w:tcPr>
                <w:p w14:paraId="1C092EFB">
                  <w:pPr>
                    <w:pStyle w:val="57"/>
                    <w:spacing w:line="240" w:lineRule="auto"/>
                    <w:rPr>
                      <w:rFonts w:hint="eastAsia"/>
                      <w:color w:val="000000"/>
                      <w:sz w:val="18"/>
                      <w:szCs w:val="18"/>
                      <w:lang w:val="en-US" w:eastAsia="zh-CN"/>
                    </w:rPr>
                  </w:pPr>
                </w:p>
              </w:tc>
              <w:tc>
                <w:tcPr>
                  <w:tcW w:w="1416" w:type="dxa"/>
                  <w:vAlign w:val="center"/>
                </w:tcPr>
                <w:p w14:paraId="43FD948E">
                  <w:pPr>
                    <w:pStyle w:val="57"/>
                    <w:spacing w:line="240" w:lineRule="auto"/>
                    <w:jc w:val="center"/>
                    <w:rPr>
                      <w:rFonts w:hint="eastAsia" w:eastAsia="宋体"/>
                      <w:color w:val="000000"/>
                      <w:sz w:val="18"/>
                      <w:szCs w:val="18"/>
                      <w:lang w:eastAsia="zh-CN"/>
                    </w:rPr>
                  </w:pPr>
                  <w:r>
                    <w:rPr>
                      <w:rFonts w:hint="eastAsia" w:eastAsia="宋体"/>
                      <w:color w:val="000000"/>
                      <w:sz w:val="18"/>
                      <w:szCs w:val="18"/>
                      <w:lang w:eastAsia="zh-CN"/>
                    </w:rPr>
                    <w:t>木屑粉尘</w:t>
                  </w:r>
                </w:p>
              </w:tc>
              <w:tc>
                <w:tcPr>
                  <w:tcW w:w="883" w:type="dxa"/>
                  <w:vMerge w:val="continue"/>
                  <w:vAlign w:val="center"/>
                </w:tcPr>
                <w:p w14:paraId="75B25E55">
                  <w:pPr>
                    <w:pStyle w:val="57"/>
                    <w:spacing w:line="240" w:lineRule="auto"/>
                    <w:jc w:val="both"/>
                    <w:rPr>
                      <w:rFonts w:hint="eastAsia"/>
                      <w:color w:val="000000"/>
                      <w:sz w:val="18"/>
                      <w:szCs w:val="18"/>
                      <w:lang w:eastAsia="zh-CN"/>
                    </w:rPr>
                  </w:pPr>
                </w:p>
              </w:tc>
              <w:tc>
                <w:tcPr>
                  <w:tcW w:w="884" w:type="dxa"/>
                  <w:vMerge w:val="continue"/>
                  <w:vAlign w:val="center"/>
                </w:tcPr>
                <w:p w14:paraId="49BF96C8">
                  <w:pPr>
                    <w:pStyle w:val="57"/>
                    <w:spacing w:line="240" w:lineRule="auto"/>
                    <w:rPr>
                      <w:color w:val="000000"/>
                      <w:sz w:val="18"/>
                      <w:szCs w:val="18"/>
                    </w:rPr>
                  </w:pPr>
                </w:p>
              </w:tc>
              <w:tc>
                <w:tcPr>
                  <w:tcW w:w="1158" w:type="dxa"/>
                  <w:vMerge w:val="continue"/>
                  <w:vAlign w:val="center"/>
                </w:tcPr>
                <w:p w14:paraId="271675F8">
                  <w:pPr>
                    <w:pStyle w:val="57"/>
                    <w:spacing w:line="240" w:lineRule="auto"/>
                    <w:rPr>
                      <w:color w:val="000000"/>
                      <w:sz w:val="18"/>
                      <w:szCs w:val="18"/>
                    </w:rPr>
                  </w:pPr>
                </w:p>
              </w:tc>
              <w:tc>
                <w:tcPr>
                  <w:tcW w:w="916" w:type="dxa"/>
                  <w:vAlign w:val="center"/>
                </w:tcPr>
                <w:p w14:paraId="621B5E88">
                  <w:pPr>
                    <w:keepNext w:val="0"/>
                    <w:keepLines w:val="0"/>
                    <w:widowControl/>
                    <w:suppressLineNumbers w:val="0"/>
                    <w:ind w:left="0" w:leftChars="0" w:firstLine="0" w:firstLineChars="0"/>
                    <w:jc w:val="center"/>
                    <w:textAlignment w:val="center"/>
                    <w:rPr>
                      <w:rFonts w:hint="eastAsia"/>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0.051</w:t>
                  </w:r>
                </w:p>
              </w:tc>
              <w:tc>
                <w:tcPr>
                  <w:tcW w:w="916" w:type="dxa"/>
                  <w:vAlign w:val="center"/>
                </w:tcPr>
                <w:p w14:paraId="2C1D5939">
                  <w:pPr>
                    <w:keepNext w:val="0"/>
                    <w:keepLines w:val="0"/>
                    <w:widowControl/>
                    <w:suppressLineNumbers w:val="0"/>
                    <w:ind w:left="0" w:leftChars="0" w:firstLine="0" w:firstLineChars="0"/>
                    <w:jc w:val="center"/>
                    <w:textAlignment w:val="center"/>
                    <w:rPr>
                      <w:rFonts w:hint="eastAsia"/>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0.051</w:t>
                  </w:r>
                </w:p>
              </w:tc>
              <w:tc>
                <w:tcPr>
                  <w:tcW w:w="1379" w:type="dxa"/>
                  <w:vMerge w:val="continue"/>
                  <w:vAlign w:val="center"/>
                </w:tcPr>
                <w:p w14:paraId="0D5CA70D">
                  <w:pPr>
                    <w:pStyle w:val="57"/>
                    <w:spacing w:line="240" w:lineRule="auto"/>
                    <w:jc w:val="center"/>
                    <w:rPr>
                      <w:rFonts w:hint="eastAsia" w:eastAsia="宋体"/>
                      <w:color w:val="000000"/>
                      <w:sz w:val="18"/>
                      <w:szCs w:val="18"/>
                      <w:lang w:eastAsia="zh-CN"/>
                    </w:rPr>
                  </w:pPr>
                </w:p>
              </w:tc>
            </w:tr>
            <w:tr w14:paraId="07F75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8" w:hRule="atLeast"/>
                <w:jc w:val="center"/>
              </w:trPr>
              <w:tc>
                <w:tcPr>
                  <w:tcW w:w="403" w:type="dxa"/>
                  <w:vAlign w:val="center"/>
                </w:tcPr>
                <w:p w14:paraId="4B15232D">
                  <w:pPr>
                    <w:pStyle w:val="57"/>
                    <w:spacing w:line="240" w:lineRule="auto"/>
                    <w:rPr>
                      <w:rFonts w:hint="eastAsia"/>
                      <w:color w:val="000000"/>
                      <w:sz w:val="18"/>
                      <w:szCs w:val="18"/>
                      <w:lang w:val="en-US" w:eastAsia="zh-CN"/>
                    </w:rPr>
                  </w:pPr>
                  <w:r>
                    <w:rPr>
                      <w:rFonts w:hint="eastAsia"/>
                      <w:color w:val="000000"/>
                      <w:sz w:val="18"/>
                      <w:szCs w:val="18"/>
                      <w:lang w:val="en-US" w:eastAsia="zh-CN"/>
                    </w:rPr>
                    <w:t>3</w:t>
                  </w:r>
                </w:p>
              </w:tc>
              <w:tc>
                <w:tcPr>
                  <w:tcW w:w="1416" w:type="dxa"/>
                  <w:vAlign w:val="center"/>
                </w:tcPr>
                <w:p w14:paraId="49F4EE8A">
                  <w:pPr>
                    <w:pStyle w:val="57"/>
                    <w:spacing w:line="240" w:lineRule="auto"/>
                    <w:rPr>
                      <w:rFonts w:hint="eastAsia"/>
                      <w:color w:val="000000"/>
                      <w:sz w:val="18"/>
                      <w:szCs w:val="18"/>
                    </w:rPr>
                  </w:pPr>
                  <w:r>
                    <w:rPr>
                      <w:rFonts w:hint="eastAsia"/>
                      <w:color w:val="000000"/>
                      <w:sz w:val="18"/>
                      <w:szCs w:val="18"/>
                      <w:lang w:eastAsia="zh-CN"/>
                    </w:rPr>
                    <w:t>废包装材料</w:t>
                  </w:r>
                </w:p>
              </w:tc>
              <w:tc>
                <w:tcPr>
                  <w:tcW w:w="883" w:type="dxa"/>
                  <w:vAlign w:val="center"/>
                </w:tcPr>
                <w:p w14:paraId="2D6105B4">
                  <w:pPr>
                    <w:pStyle w:val="57"/>
                    <w:spacing w:line="240" w:lineRule="auto"/>
                    <w:rPr>
                      <w:rFonts w:hint="eastAsia"/>
                      <w:color w:val="000000"/>
                      <w:sz w:val="18"/>
                      <w:szCs w:val="18"/>
                      <w:lang w:eastAsia="zh-CN"/>
                    </w:rPr>
                  </w:pPr>
                  <w:r>
                    <w:rPr>
                      <w:rFonts w:hint="eastAsia" w:eastAsia="宋体"/>
                      <w:color w:val="000000"/>
                      <w:sz w:val="18"/>
                      <w:szCs w:val="18"/>
                      <w:lang w:eastAsia="zh-CN"/>
                    </w:rPr>
                    <w:t>包装过程</w:t>
                  </w:r>
                </w:p>
              </w:tc>
              <w:tc>
                <w:tcPr>
                  <w:tcW w:w="884" w:type="dxa"/>
                  <w:vAlign w:val="center"/>
                </w:tcPr>
                <w:p w14:paraId="59D357F5">
                  <w:pPr>
                    <w:pStyle w:val="57"/>
                    <w:spacing w:line="240" w:lineRule="auto"/>
                    <w:rPr>
                      <w:color w:val="000000"/>
                      <w:sz w:val="18"/>
                      <w:szCs w:val="18"/>
                    </w:rPr>
                  </w:pPr>
                  <w:r>
                    <w:rPr>
                      <w:color w:val="000000"/>
                      <w:sz w:val="18"/>
                      <w:szCs w:val="18"/>
                    </w:rPr>
                    <w:t>固态</w:t>
                  </w:r>
                </w:p>
              </w:tc>
              <w:tc>
                <w:tcPr>
                  <w:tcW w:w="1158" w:type="dxa"/>
                  <w:vAlign w:val="center"/>
                </w:tcPr>
                <w:p w14:paraId="4F6DA98F">
                  <w:pPr>
                    <w:pStyle w:val="57"/>
                    <w:spacing w:line="240" w:lineRule="auto"/>
                    <w:rPr>
                      <w:color w:val="000000"/>
                      <w:sz w:val="18"/>
                      <w:szCs w:val="18"/>
                    </w:rPr>
                  </w:pPr>
                  <w:r>
                    <w:rPr>
                      <w:rFonts w:hint="eastAsia"/>
                      <w:color w:val="000000"/>
                      <w:sz w:val="18"/>
                      <w:szCs w:val="18"/>
                    </w:rPr>
                    <w:t>一般工业固废</w:t>
                  </w:r>
                </w:p>
              </w:tc>
              <w:tc>
                <w:tcPr>
                  <w:tcW w:w="916" w:type="dxa"/>
                  <w:vAlign w:val="center"/>
                </w:tcPr>
                <w:p w14:paraId="36B34895">
                  <w:pPr>
                    <w:keepNext w:val="0"/>
                    <w:keepLines w:val="0"/>
                    <w:widowControl/>
                    <w:suppressLineNumbers w:val="0"/>
                    <w:ind w:left="0" w:leftChars="0" w:firstLine="0" w:firstLineChars="0"/>
                    <w:jc w:val="center"/>
                    <w:textAlignment w:val="center"/>
                    <w:rPr>
                      <w:rFonts w:hint="eastAsia"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916" w:type="dxa"/>
                  <w:vAlign w:val="center"/>
                </w:tcPr>
                <w:p w14:paraId="0CE7120C">
                  <w:pPr>
                    <w:keepNext w:val="0"/>
                    <w:keepLines w:val="0"/>
                    <w:widowControl/>
                    <w:suppressLineNumbers w:val="0"/>
                    <w:ind w:left="0" w:leftChars="0" w:firstLine="0" w:firstLineChars="0"/>
                    <w:jc w:val="center"/>
                    <w:textAlignment w:val="center"/>
                    <w:rPr>
                      <w:rFonts w:hint="eastAsia"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379" w:type="dxa"/>
                  <w:vAlign w:val="center"/>
                </w:tcPr>
                <w:p w14:paraId="0F3E8ED9">
                  <w:pPr>
                    <w:spacing w:line="240" w:lineRule="auto"/>
                    <w:ind w:left="0" w:leftChars="0" w:firstLine="0" w:firstLineChars="0"/>
                    <w:jc w:val="center"/>
                    <w:rPr>
                      <w:rFonts w:hint="eastAsia" w:eastAsia="宋体"/>
                      <w:color w:val="000000"/>
                      <w:sz w:val="18"/>
                      <w:szCs w:val="18"/>
                      <w:lang w:eastAsia="zh-CN"/>
                    </w:rPr>
                  </w:pPr>
                  <w:r>
                    <w:rPr>
                      <w:rFonts w:hint="eastAsia" w:ascii="Times New Roman" w:hAnsi="Times New Roman" w:cs="Times New Roman"/>
                      <w:sz w:val="18"/>
                      <w:szCs w:val="18"/>
                      <w:lang w:val="en-US" w:eastAsia="zh-CN"/>
                    </w:rPr>
                    <w:t>委托外单位回收利用</w:t>
                  </w:r>
                </w:p>
              </w:tc>
            </w:tr>
            <w:tr w14:paraId="1E40F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9" w:hRule="atLeast"/>
                <w:jc w:val="center"/>
              </w:trPr>
              <w:tc>
                <w:tcPr>
                  <w:tcW w:w="403" w:type="dxa"/>
                  <w:vAlign w:val="center"/>
                </w:tcPr>
                <w:p w14:paraId="4D589A96">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4</w:t>
                  </w:r>
                </w:p>
              </w:tc>
              <w:tc>
                <w:tcPr>
                  <w:tcW w:w="1416" w:type="dxa"/>
                  <w:vAlign w:val="center"/>
                </w:tcPr>
                <w:p w14:paraId="11CA50C7">
                  <w:pPr>
                    <w:pStyle w:val="57"/>
                    <w:spacing w:line="240" w:lineRule="auto"/>
                    <w:jc w:val="center"/>
                    <w:rPr>
                      <w:color w:val="000000"/>
                      <w:sz w:val="18"/>
                      <w:szCs w:val="18"/>
                    </w:rPr>
                  </w:pPr>
                  <w:r>
                    <w:rPr>
                      <w:rFonts w:hint="eastAsia"/>
                      <w:color w:val="000000"/>
                      <w:sz w:val="18"/>
                      <w:szCs w:val="18"/>
                      <w:lang w:eastAsia="zh-CN"/>
                    </w:rPr>
                    <w:t>底漆、面漆、稀释剂、固化剂空</w:t>
                  </w:r>
                  <w:r>
                    <w:rPr>
                      <w:color w:val="000000"/>
                      <w:sz w:val="18"/>
                      <w:szCs w:val="18"/>
                    </w:rPr>
                    <w:t>桶</w:t>
                  </w:r>
                </w:p>
              </w:tc>
              <w:tc>
                <w:tcPr>
                  <w:tcW w:w="883" w:type="dxa"/>
                  <w:vAlign w:val="center"/>
                </w:tcPr>
                <w:p w14:paraId="6DF23384">
                  <w:pPr>
                    <w:pStyle w:val="57"/>
                    <w:spacing w:line="240" w:lineRule="auto"/>
                    <w:jc w:val="center"/>
                    <w:rPr>
                      <w:rFonts w:hint="eastAsia" w:cs="Times New Roman"/>
                      <w:color w:val="000000"/>
                      <w:sz w:val="18"/>
                      <w:szCs w:val="18"/>
                      <w:lang w:val="en-US" w:eastAsia="zh-CN"/>
                    </w:rPr>
                  </w:pPr>
                  <w:r>
                    <w:rPr>
                      <w:rFonts w:hint="eastAsia" w:cs="Times New Roman"/>
                      <w:color w:val="000000"/>
                      <w:sz w:val="18"/>
                      <w:szCs w:val="18"/>
                      <w:lang w:val="en-US" w:eastAsia="zh-CN"/>
                    </w:rPr>
                    <w:t>上漆</w:t>
                  </w:r>
                </w:p>
              </w:tc>
              <w:tc>
                <w:tcPr>
                  <w:tcW w:w="884" w:type="dxa"/>
                  <w:vAlign w:val="center"/>
                </w:tcPr>
                <w:p w14:paraId="1346BA61">
                  <w:pPr>
                    <w:pStyle w:val="57"/>
                    <w:spacing w:line="240" w:lineRule="auto"/>
                    <w:rPr>
                      <w:color w:val="000000"/>
                      <w:sz w:val="18"/>
                      <w:szCs w:val="18"/>
                    </w:rPr>
                  </w:pPr>
                  <w:r>
                    <w:rPr>
                      <w:color w:val="000000"/>
                      <w:sz w:val="18"/>
                      <w:szCs w:val="18"/>
                    </w:rPr>
                    <w:t>固态</w:t>
                  </w:r>
                </w:p>
              </w:tc>
              <w:tc>
                <w:tcPr>
                  <w:tcW w:w="1158" w:type="dxa"/>
                  <w:vAlign w:val="center"/>
                </w:tcPr>
                <w:p w14:paraId="68BF3EB7">
                  <w:pPr>
                    <w:pStyle w:val="57"/>
                    <w:tabs>
                      <w:tab w:val="left" w:pos="480"/>
                      <w:tab w:val="left" w:pos="960"/>
                    </w:tabs>
                    <w:ind w:right="-143" w:rightChars="-68" w:firstLine="0" w:firstLineChars="0"/>
                    <w:rPr>
                      <w:rFonts w:hint="default" w:eastAsia="宋体"/>
                      <w:color w:val="000000"/>
                      <w:sz w:val="18"/>
                      <w:szCs w:val="18"/>
                      <w:lang w:val="en-US" w:eastAsia="zh-CN"/>
                    </w:rPr>
                  </w:pPr>
                  <w:r>
                    <w:rPr>
                      <w:rFonts w:hint="eastAsia"/>
                      <w:color w:val="000000"/>
                      <w:sz w:val="18"/>
                      <w:szCs w:val="18"/>
                      <w:lang w:val="en-US" w:eastAsia="zh-CN"/>
                    </w:rPr>
                    <w:t>/</w:t>
                  </w:r>
                </w:p>
              </w:tc>
              <w:tc>
                <w:tcPr>
                  <w:tcW w:w="916" w:type="dxa"/>
                  <w:vAlign w:val="center"/>
                </w:tcPr>
                <w:p w14:paraId="66E30DAE">
                  <w:pPr>
                    <w:keepNext w:val="0"/>
                    <w:keepLines w:val="0"/>
                    <w:widowControl/>
                    <w:suppressLineNumbers w:val="0"/>
                    <w:ind w:left="0" w:leftChars="0" w:firstLine="0" w:firstLineChars="0"/>
                    <w:jc w:val="center"/>
                    <w:textAlignment w:val="center"/>
                    <w:rPr>
                      <w:rFonts w:hint="eastAsia"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916" w:type="dxa"/>
                  <w:vAlign w:val="center"/>
                </w:tcPr>
                <w:p w14:paraId="20FD6BFA">
                  <w:pPr>
                    <w:keepNext w:val="0"/>
                    <w:keepLines w:val="0"/>
                    <w:widowControl/>
                    <w:suppressLineNumbers w:val="0"/>
                    <w:ind w:left="0" w:leftChars="0" w:firstLine="0" w:firstLineChars="0"/>
                    <w:jc w:val="center"/>
                    <w:textAlignment w:val="center"/>
                    <w:rPr>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379" w:type="dxa"/>
                  <w:vAlign w:val="center"/>
                </w:tcPr>
                <w:p w14:paraId="76D9ECD4">
                  <w:pPr>
                    <w:pStyle w:val="57"/>
                    <w:spacing w:line="240" w:lineRule="auto"/>
                    <w:jc w:val="center"/>
                    <w:rPr>
                      <w:color w:val="000000"/>
                      <w:sz w:val="18"/>
                      <w:szCs w:val="18"/>
                    </w:rPr>
                  </w:pPr>
                  <w:r>
                    <w:rPr>
                      <w:rFonts w:hint="eastAsia"/>
                      <w:color w:val="000000"/>
                      <w:sz w:val="18"/>
                      <w:szCs w:val="18"/>
                      <w:lang w:val="en-US" w:eastAsia="zh-CN"/>
                    </w:rPr>
                    <w:t>委托</w:t>
                  </w:r>
                  <w:r>
                    <w:rPr>
                      <w:color w:val="000000"/>
                      <w:sz w:val="18"/>
                      <w:szCs w:val="18"/>
                    </w:rPr>
                    <w:t>生产</w:t>
                  </w:r>
                  <w:r>
                    <w:rPr>
                      <w:rFonts w:hint="eastAsia"/>
                      <w:color w:val="000000"/>
                      <w:sz w:val="18"/>
                      <w:szCs w:val="18"/>
                    </w:rPr>
                    <w:t>厂家回收利用</w:t>
                  </w:r>
                </w:p>
              </w:tc>
            </w:tr>
            <w:tr w14:paraId="07E96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403" w:type="dxa"/>
                  <w:vMerge w:val="restart"/>
                  <w:vAlign w:val="center"/>
                </w:tcPr>
                <w:p w14:paraId="71268E49">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5</w:t>
                  </w:r>
                </w:p>
              </w:tc>
              <w:tc>
                <w:tcPr>
                  <w:tcW w:w="1416" w:type="dxa"/>
                  <w:vAlign w:val="center"/>
                </w:tcPr>
                <w:p w14:paraId="0414DDD8">
                  <w:pPr>
                    <w:pStyle w:val="57"/>
                    <w:spacing w:line="240" w:lineRule="auto"/>
                    <w:rPr>
                      <w:color w:val="000000"/>
                      <w:sz w:val="18"/>
                      <w:szCs w:val="18"/>
                    </w:rPr>
                  </w:pPr>
                  <w:r>
                    <w:rPr>
                      <w:rFonts w:hint="eastAsia"/>
                      <w:color w:val="000000"/>
                      <w:sz w:val="18"/>
                      <w:szCs w:val="18"/>
                    </w:rPr>
                    <w:t>漆渣</w:t>
                  </w:r>
                </w:p>
              </w:tc>
              <w:tc>
                <w:tcPr>
                  <w:tcW w:w="883" w:type="dxa"/>
                  <w:vAlign w:val="center"/>
                </w:tcPr>
                <w:p w14:paraId="11C85FDC">
                  <w:pPr>
                    <w:pStyle w:val="57"/>
                    <w:tabs>
                      <w:tab w:val="left" w:pos="388"/>
                    </w:tabs>
                    <w:spacing w:line="240" w:lineRule="auto"/>
                    <w:jc w:val="center"/>
                    <w:rPr>
                      <w:rFonts w:hint="eastAsia" w:eastAsia="宋体"/>
                      <w:color w:val="000000"/>
                      <w:sz w:val="18"/>
                      <w:szCs w:val="18"/>
                      <w:lang w:eastAsia="zh-CN"/>
                    </w:rPr>
                  </w:pPr>
                  <w:r>
                    <w:rPr>
                      <w:rFonts w:hint="eastAsia"/>
                      <w:color w:val="000000"/>
                      <w:sz w:val="18"/>
                      <w:szCs w:val="18"/>
                      <w:lang w:eastAsia="zh-CN"/>
                    </w:rPr>
                    <w:t>上漆</w:t>
                  </w:r>
                </w:p>
              </w:tc>
              <w:tc>
                <w:tcPr>
                  <w:tcW w:w="884" w:type="dxa"/>
                  <w:vAlign w:val="center"/>
                </w:tcPr>
                <w:p w14:paraId="18865D36">
                  <w:pPr>
                    <w:pStyle w:val="57"/>
                    <w:spacing w:line="240" w:lineRule="auto"/>
                    <w:rPr>
                      <w:rFonts w:hint="eastAsia" w:eastAsia="宋体"/>
                      <w:color w:val="000000"/>
                      <w:sz w:val="18"/>
                      <w:szCs w:val="18"/>
                      <w:lang w:eastAsia="zh-CN"/>
                    </w:rPr>
                  </w:pPr>
                  <w:r>
                    <w:rPr>
                      <w:rFonts w:hint="eastAsia"/>
                      <w:color w:val="000000"/>
                      <w:sz w:val="18"/>
                      <w:szCs w:val="18"/>
                      <w:lang w:eastAsia="zh-CN"/>
                    </w:rPr>
                    <w:t>固态</w:t>
                  </w:r>
                </w:p>
              </w:tc>
              <w:tc>
                <w:tcPr>
                  <w:tcW w:w="1158" w:type="dxa"/>
                  <w:vMerge w:val="restart"/>
                  <w:vAlign w:val="center"/>
                </w:tcPr>
                <w:p w14:paraId="15456565">
                  <w:pPr>
                    <w:pStyle w:val="57"/>
                    <w:tabs>
                      <w:tab w:val="left" w:pos="480"/>
                      <w:tab w:val="left" w:pos="960"/>
                    </w:tabs>
                    <w:ind w:right="-143" w:rightChars="-68"/>
                    <w:rPr>
                      <w:sz w:val="18"/>
                      <w:szCs w:val="18"/>
                    </w:rPr>
                  </w:pPr>
                  <w:r>
                    <w:rPr>
                      <w:sz w:val="18"/>
                      <w:szCs w:val="18"/>
                    </w:rPr>
                    <w:t>HW49</w:t>
                  </w:r>
                </w:p>
                <w:p w14:paraId="6ABB4052">
                  <w:pPr>
                    <w:pStyle w:val="57"/>
                    <w:ind w:firstLine="0" w:firstLineChars="0"/>
                    <w:rPr>
                      <w:rFonts w:hint="eastAsia" w:eastAsia="宋体"/>
                      <w:sz w:val="18"/>
                      <w:szCs w:val="18"/>
                      <w:lang w:val="en-US" w:eastAsia="zh-CN"/>
                    </w:rPr>
                  </w:pPr>
                  <w:r>
                    <w:rPr>
                      <w:sz w:val="18"/>
                      <w:szCs w:val="18"/>
                    </w:rPr>
                    <w:t>900-041-4</w:t>
                  </w:r>
                  <w:r>
                    <w:rPr>
                      <w:rFonts w:hint="eastAsia"/>
                      <w:sz w:val="18"/>
                      <w:szCs w:val="18"/>
                      <w:lang w:val="en-US" w:eastAsia="zh-CN"/>
                    </w:rPr>
                    <w:t>9</w:t>
                  </w:r>
                </w:p>
              </w:tc>
              <w:tc>
                <w:tcPr>
                  <w:tcW w:w="916" w:type="dxa"/>
                  <w:vAlign w:val="center"/>
                </w:tcPr>
                <w:p w14:paraId="51544D97">
                  <w:pPr>
                    <w:keepNext w:val="0"/>
                    <w:keepLines w:val="0"/>
                    <w:widowControl/>
                    <w:suppressLineNumbers w:val="0"/>
                    <w:ind w:left="0" w:leftChars="0" w:firstLine="0" w:firstLineChars="0"/>
                    <w:jc w:val="center"/>
                    <w:textAlignment w:val="center"/>
                    <w:rPr>
                      <w:rFonts w:hint="eastAsia"/>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1.062</w:t>
                  </w:r>
                </w:p>
              </w:tc>
              <w:tc>
                <w:tcPr>
                  <w:tcW w:w="916" w:type="dxa"/>
                  <w:vAlign w:val="center"/>
                </w:tcPr>
                <w:p w14:paraId="1D2FF81A">
                  <w:pPr>
                    <w:keepNext w:val="0"/>
                    <w:keepLines w:val="0"/>
                    <w:widowControl/>
                    <w:suppressLineNumbers w:val="0"/>
                    <w:ind w:left="0" w:leftChars="0" w:firstLine="0" w:firstLineChars="0"/>
                    <w:jc w:val="center"/>
                    <w:textAlignment w:val="center"/>
                    <w:rPr>
                      <w:rFonts w:hint="eastAsia"/>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1.062</w:t>
                  </w:r>
                </w:p>
              </w:tc>
              <w:tc>
                <w:tcPr>
                  <w:tcW w:w="1379" w:type="dxa"/>
                  <w:vMerge w:val="restart"/>
                  <w:vAlign w:val="center"/>
                </w:tcPr>
                <w:p w14:paraId="473C4666">
                  <w:pPr>
                    <w:pStyle w:val="57"/>
                    <w:spacing w:line="240" w:lineRule="auto"/>
                    <w:jc w:val="center"/>
                    <w:rPr>
                      <w:rFonts w:hint="eastAsia" w:eastAsia="宋体"/>
                      <w:color w:val="000000"/>
                      <w:sz w:val="18"/>
                      <w:szCs w:val="18"/>
                      <w:lang w:eastAsia="zh-CN"/>
                    </w:rPr>
                  </w:pPr>
                  <w:r>
                    <w:rPr>
                      <w:rFonts w:hint="eastAsia" w:eastAsia="宋体"/>
                      <w:color w:val="000000"/>
                      <w:sz w:val="18"/>
                      <w:szCs w:val="18"/>
                      <w:lang w:eastAsia="zh-CN"/>
                    </w:rPr>
                    <w:t>暂存危废间，待达到一定量后委托有资质的单位处理</w:t>
                  </w:r>
                </w:p>
              </w:tc>
            </w:tr>
            <w:tr w14:paraId="1F60C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403" w:type="dxa"/>
                  <w:vMerge w:val="continue"/>
                  <w:vAlign w:val="center"/>
                </w:tcPr>
                <w:p w14:paraId="5B5710C3">
                  <w:pPr>
                    <w:pStyle w:val="57"/>
                    <w:spacing w:line="240" w:lineRule="auto"/>
                    <w:rPr>
                      <w:rFonts w:hint="eastAsia"/>
                      <w:color w:val="000000"/>
                      <w:sz w:val="18"/>
                      <w:szCs w:val="18"/>
                      <w:lang w:val="en-US" w:eastAsia="zh-CN"/>
                    </w:rPr>
                  </w:pPr>
                </w:p>
              </w:tc>
              <w:tc>
                <w:tcPr>
                  <w:tcW w:w="1416" w:type="dxa"/>
                  <w:vAlign w:val="center"/>
                </w:tcPr>
                <w:p w14:paraId="4A219ADB">
                  <w:pPr>
                    <w:pStyle w:val="57"/>
                    <w:spacing w:line="240" w:lineRule="auto"/>
                    <w:rPr>
                      <w:rFonts w:hint="eastAsia"/>
                      <w:color w:val="000000"/>
                      <w:sz w:val="18"/>
                      <w:szCs w:val="18"/>
                    </w:rPr>
                  </w:pPr>
                  <w:r>
                    <w:rPr>
                      <w:rFonts w:hint="eastAsia"/>
                      <w:color w:val="000000"/>
                      <w:sz w:val="18"/>
                      <w:szCs w:val="18"/>
                    </w:rPr>
                    <w:t>底漆打磨粉尘</w:t>
                  </w:r>
                </w:p>
              </w:tc>
              <w:tc>
                <w:tcPr>
                  <w:tcW w:w="883" w:type="dxa"/>
                  <w:vAlign w:val="center"/>
                </w:tcPr>
                <w:p w14:paraId="190F6CED">
                  <w:pPr>
                    <w:pStyle w:val="57"/>
                    <w:tabs>
                      <w:tab w:val="left" w:pos="388"/>
                    </w:tabs>
                    <w:spacing w:line="240" w:lineRule="auto"/>
                    <w:jc w:val="center"/>
                    <w:rPr>
                      <w:rFonts w:hint="eastAsia"/>
                      <w:color w:val="000000"/>
                      <w:sz w:val="18"/>
                      <w:szCs w:val="18"/>
                      <w:lang w:eastAsia="zh-CN"/>
                    </w:rPr>
                  </w:pPr>
                  <w:r>
                    <w:rPr>
                      <w:rFonts w:hint="eastAsia"/>
                      <w:color w:val="000000"/>
                      <w:sz w:val="18"/>
                      <w:szCs w:val="18"/>
                    </w:rPr>
                    <w:t>底漆打磨</w:t>
                  </w:r>
                </w:p>
              </w:tc>
              <w:tc>
                <w:tcPr>
                  <w:tcW w:w="884" w:type="dxa"/>
                  <w:vAlign w:val="center"/>
                </w:tcPr>
                <w:p w14:paraId="3DE301F4">
                  <w:pPr>
                    <w:pStyle w:val="57"/>
                    <w:spacing w:line="240" w:lineRule="auto"/>
                    <w:rPr>
                      <w:rFonts w:hint="eastAsia"/>
                      <w:color w:val="000000"/>
                      <w:sz w:val="18"/>
                      <w:szCs w:val="18"/>
                      <w:lang w:eastAsia="zh-CN"/>
                    </w:rPr>
                  </w:pPr>
                  <w:r>
                    <w:rPr>
                      <w:rFonts w:hint="eastAsia"/>
                      <w:color w:val="000000"/>
                      <w:sz w:val="18"/>
                      <w:szCs w:val="18"/>
                      <w:lang w:eastAsia="zh-CN"/>
                    </w:rPr>
                    <w:t>固态</w:t>
                  </w:r>
                </w:p>
              </w:tc>
              <w:tc>
                <w:tcPr>
                  <w:tcW w:w="1158" w:type="dxa"/>
                  <w:vMerge w:val="continue"/>
                  <w:vAlign w:val="center"/>
                </w:tcPr>
                <w:p w14:paraId="5F3AEFF5">
                  <w:pPr>
                    <w:pStyle w:val="57"/>
                    <w:ind w:firstLine="0" w:firstLineChars="0"/>
                    <w:rPr>
                      <w:rFonts w:hint="eastAsia" w:eastAsia="宋体"/>
                      <w:sz w:val="18"/>
                      <w:szCs w:val="18"/>
                      <w:lang w:val="en-US" w:eastAsia="zh-CN"/>
                    </w:rPr>
                  </w:pPr>
                </w:p>
              </w:tc>
              <w:tc>
                <w:tcPr>
                  <w:tcW w:w="916" w:type="dxa"/>
                  <w:vAlign w:val="center"/>
                </w:tcPr>
                <w:p w14:paraId="3ED6124D">
                  <w:pPr>
                    <w:keepNext w:val="0"/>
                    <w:keepLines w:val="0"/>
                    <w:widowControl/>
                    <w:suppressLineNumbers w:val="0"/>
                    <w:ind w:left="0" w:leftChars="0" w:firstLine="0" w:firstLineChars="0"/>
                    <w:jc w:val="center"/>
                    <w:textAlignment w:val="center"/>
                    <w:rPr>
                      <w:rFonts w:hint="eastAsia"/>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0.092</w:t>
                  </w:r>
                </w:p>
              </w:tc>
              <w:tc>
                <w:tcPr>
                  <w:tcW w:w="916" w:type="dxa"/>
                  <w:vAlign w:val="center"/>
                </w:tcPr>
                <w:p w14:paraId="646E27FA">
                  <w:pPr>
                    <w:keepNext w:val="0"/>
                    <w:keepLines w:val="0"/>
                    <w:widowControl/>
                    <w:suppressLineNumbers w:val="0"/>
                    <w:ind w:left="0" w:leftChars="0" w:firstLine="0" w:firstLineChars="0"/>
                    <w:jc w:val="center"/>
                    <w:textAlignment w:val="center"/>
                    <w:rPr>
                      <w:rFonts w:hint="eastAsia"/>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0.092</w:t>
                  </w:r>
                </w:p>
              </w:tc>
              <w:tc>
                <w:tcPr>
                  <w:tcW w:w="1379" w:type="dxa"/>
                  <w:vMerge w:val="continue"/>
                  <w:vAlign w:val="center"/>
                </w:tcPr>
                <w:p w14:paraId="465320B3">
                  <w:pPr>
                    <w:pStyle w:val="57"/>
                    <w:spacing w:line="240" w:lineRule="auto"/>
                    <w:rPr>
                      <w:rFonts w:hint="eastAsia" w:eastAsia="宋体"/>
                      <w:color w:val="000000"/>
                      <w:sz w:val="18"/>
                      <w:szCs w:val="18"/>
                      <w:lang w:eastAsia="zh-CN"/>
                    </w:rPr>
                  </w:pPr>
                </w:p>
              </w:tc>
            </w:tr>
            <w:tr w14:paraId="6766F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403" w:type="dxa"/>
                  <w:vMerge w:val="continue"/>
                  <w:vAlign w:val="center"/>
                </w:tcPr>
                <w:p w14:paraId="1228C9CC">
                  <w:pPr>
                    <w:pStyle w:val="57"/>
                    <w:spacing w:line="240" w:lineRule="auto"/>
                    <w:rPr>
                      <w:rFonts w:hint="eastAsia"/>
                      <w:color w:val="000000"/>
                      <w:sz w:val="18"/>
                      <w:szCs w:val="18"/>
                      <w:lang w:val="en-US" w:eastAsia="zh-CN"/>
                    </w:rPr>
                  </w:pPr>
                </w:p>
              </w:tc>
              <w:tc>
                <w:tcPr>
                  <w:tcW w:w="1416" w:type="dxa"/>
                  <w:vAlign w:val="center"/>
                </w:tcPr>
                <w:p w14:paraId="32B1B94B">
                  <w:pPr>
                    <w:pStyle w:val="57"/>
                    <w:spacing w:line="240" w:lineRule="auto"/>
                    <w:rPr>
                      <w:rFonts w:hint="eastAsia" w:eastAsia="宋体"/>
                      <w:color w:val="000000"/>
                      <w:sz w:val="18"/>
                      <w:szCs w:val="18"/>
                      <w:highlight w:val="none"/>
                      <w:lang w:eastAsia="zh-CN"/>
                    </w:rPr>
                  </w:pPr>
                  <w:r>
                    <w:rPr>
                      <w:rFonts w:hint="eastAsia"/>
                      <w:color w:val="000000"/>
                      <w:sz w:val="18"/>
                      <w:szCs w:val="18"/>
                      <w:highlight w:val="none"/>
                      <w:lang w:val="en-US" w:eastAsia="zh-CN"/>
                    </w:rPr>
                    <w:t>废活性炭</w:t>
                  </w:r>
                </w:p>
              </w:tc>
              <w:tc>
                <w:tcPr>
                  <w:tcW w:w="883" w:type="dxa"/>
                  <w:vAlign w:val="center"/>
                </w:tcPr>
                <w:p w14:paraId="4C420893">
                  <w:pPr>
                    <w:pStyle w:val="57"/>
                    <w:tabs>
                      <w:tab w:val="left" w:pos="388"/>
                    </w:tabs>
                    <w:spacing w:line="240" w:lineRule="auto"/>
                    <w:jc w:val="center"/>
                    <w:rPr>
                      <w:rFonts w:hint="default" w:eastAsia="宋体"/>
                      <w:color w:val="000000"/>
                      <w:sz w:val="18"/>
                      <w:szCs w:val="18"/>
                      <w:lang w:val="en-US" w:eastAsia="zh-CN"/>
                    </w:rPr>
                  </w:pPr>
                  <w:r>
                    <w:rPr>
                      <w:rFonts w:hint="eastAsia"/>
                      <w:color w:val="000000"/>
                      <w:sz w:val="18"/>
                      <w:szCs w:val="18"/>
                      <w:lang w:val="en-US" w:eastAsia="zh-CN"/>
                    </w:rPr>
                    <w:t>废气处理</w:t>
                  </w:r>
                </w:p>
              </w:tc>
              <w:tc>
                <w:tcPr>
                  <w:tcW w:w="884" w:type="dxa"/>
                  <w:vAlign w:val="center"/>
                </w:tcPr>
                <w:p w14:paraId="484E7EB2">
                  <w:pPr>
                    <w:pStyle w:val="57"/>
                    <w:spacing w:line="240" w:lineRule="auto"/>
                    <w:rPr>
                      <w:rFonts w:hint="eastAsia"/>
                      <w:color w:val="000000"/>
                      <w:sz w:val="18"/>
                      <w:szCs w:val="18"/>
                      <w:lang w:eastAsia="zh-CN"/>
                    </w:rPr>
                  </w:pPr>
                  <w:r>
                    <w:rPr>
                      <w:rFonts w:hint="eastAsia"/>
                      <w:color w:val="000000"/>
                      <w:sz w:val="18"/>
                      <w:szCs w:val="18"/>
                      <w:lang w:eastAsia="zh-CN"/>
                    </w:rPr>
                    <w:t>固态</w:t>
                  </w:r>
                </w:p>
              </w:tc>
              <w:tc>
                <w:tcPr>
                  <w:tcW w:w="1158" w:type="dxa"/>
                  <w:vMerge w:val="continue"/>
                  <w:vAlign w:val="center"/>
                </w:tcPr>
                <w:p w14:paraId="1C4E371F">
                  <w:pPr>
                    <w:pStyle w:val="57"/>
                    <w:ind w:firstLine="0" w:firstLineChars="0"/>
                    <w:rPr>
                      <w:sz w:val="18"/>
                      <w:szCs w:val="18"/>
                    </w:rPr>
                  </w:pPr>
                </w:p>
              </w:tc>
              <w:tc>
                <w:tcPr>
                  <w:tcW w:w="916" w:type="dxa"/>
                  <w:vAlign w:val="center"/>
                </w:tcPr>
                <w:p w14:paraId="5CB944C4">
                  <w:pPr>
                    <w:keepNext w:val="0"/>
                    <w:keepLines w:val="0"/>
                    <w:widowControl/>
                    <w:suppressLineNumbers w:val="0"/>
                    <w:ind w:left="0" w:leftChars="0" w:firstLine="0" w:firstLineChars="0"/>
                    <w:jc w:val="center"/>
                    <w:textAlignment w:val="center"/>
                    <w:rPr>
                      <w:rFonts w:hint="default"/>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7.957</w:t>
                  </w:r>
                </w:p>
              </w:tc>
              <w:tc>
                <w:tcPr>
                  <w:tcW w:w="916" w:type="dxa"/>
                  <w:vAlign w:val="center"/>
                </w:tcPr>
                <w:p w14:paraId="6D34880F">
                  <w:pPr>
                    <w:keepNext w:val="0"/>
                    <w:keepLines w:val="0"/>
                    <w:widowControl/>
                    <w:suppressLineNumbers w:val="0"/>
                    <w:ind w:left="0" w:leftChars="0" w:firstLine="0" w:firstLineChars="0"/>
                    <w:jc w:val="center"/>
                    <w:textAlignment w:val="center"/>
                    <w:rPr>
                      <w:rFonts w:hint="default"/>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7.957</w:t>
                  </w:r>
                </w:p>
              </w:tc>
              <w:tc>
                <w:tcPr>
                  <w:tcW w:w="1379" w:type="dxa"/>
                  <w:vMerge w:val="continue"/>
                  <w:vAlign w:val="center"/>
                </w:tcPr>
                <w:p w14:paraId="7C7785AD">
                  <w:pPr>
                    <w:pStyle w:val="57"/>
                    <w:spacing w:line="240" w:lineRule="auto"/>
                    <w:rPr>
                      <w:rFonts w:hint="eastAsia" w:eastAsia="宋体"/>
                      <w:color w:val="000000"/>
                      <w:sz w:val="18"/>
                      <w:szCs w:val="18"/>
                      <w:lang w:eastAsia="zh-CN"/>
                    </w:rPr>
                  </w:pPr>
                </w:p>
              </w:tc>
            </w:tr>
            <w:tr w14:paraId="69161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1819" w:type="dxa"/>
                  <w:gridSpan w:val="2"/>
                  <w:vAlign w:val="center"/>
                </w:tcPr>
                <w:p w14:paraId="67371534">
                  <w:pPr>
                    <w:pStyle w:val="57"/>
                    <w:spacing w:line="240" w:lineRule="auto"/>
                    <w:rPr>
                      <w:color w:val="000000"/>
                      <w:sz w:val="18"/>
                      <w:szCs w:val="18"/>
                    </w:rPr>
                  </w:pPr>
                  <w:r>
                    <w:rPr>
                      <w:color w:val="000000"/>
                      <w:sz w:val="18"/>
                      <w:szCs w:val="18"/>
                    </w:rPr>
                    <w:t>合计</w:t>
                  </w:r>
                </w:p>
              </w:tc>
              <w:tc>
                <w:tcPr>
                  <w:tcW w:w="883" w:type="dxa"/>
                  <w:vAlign w:val="center"/>
                </w:tcPr>
                <w:p w14:paraId="1418A8AC">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w:t>
                  </w:r>
                </w:p>
              </w:tc>
              <w:tc>
                <w:tcPr>
                  <w:tcW w:w="884" w:type="dxa"/>
                  <w:vAlign w:val="center"/>
                </w:tcPr>
                <w:p w14:paraId="3874EB06">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w:t>
                  </w:r>
                </w:p>
              </w:tc>
              <w:tc>
                <w:tcPr>
                  <w:tcW w:w="1158" w:type="dxa"/>
                  <w:vAlign w:val="center"/>
                </w:tcPr>
                <w:p w14:paraId="30C83874">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w:t>
                  </w:r>
                </w:p>
              </w:tc>
              <w:tc>
                <w:tcPr>
                  <w:tcW w:w="916" w:type="dxa"/>
                  <w:vAlign w:val="center"/>
                </w:tcPr>
                <w:p w14:paraId="4F854669">
                  <w:pPr>
                    <w:keepNext w:val="0"/>
                    <w:keepLines w:val="0"/>
                    <w:widowControl/>
                    <w:suppressLineNumbers w:val="0"/>
                    <w:ind w:left="0" w:leftChars="0" w:firstLine="0" w:firstLineChars="0"/>
                    <w:jc w:val="center"/>
                    <w:textAlignment w:val="center"/>
                    <w:rPr>
                      <w:rFonts w:hint="default"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21.696</w:t>
                  </w:r>
                </w:p>
              </w:tc>
              <w:tc>
                <w:tcPr>
                  <w:tcW w:w="916" w:type="dxa"/>
                  <w:vAlign w:val="center"/>
                </w:tcPr>
                <w:p w14:paraId="0960FAE6">
                  <w:pPr>
                    <w:keepNext w:val="0"/>
                    <w:keepLines w:val="0"/>
                    <w:widowControl/>
                    <w:suppressLineNumbers w:val="0"/>
                    <w:ind w:left="0" w:leftChars="0" w:firstLine="0" w:firstLineChars="0"/>
                    <w:jc w:val="center"/>
                    <w:textAlignment w:val="center"/>
                    <w:rPr>
                      <w:rFonts w:hint="default" w:eastAsia="宋体"/>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21.696</w:t>
                  </w:r>
                </w:p>
              </w:tc>
              <w:tc>
                <w:tcPr>
                  <w:tcW w:w="1379" w:type="dxa"/>
                  <w:vAlign w:val="center"/>
                </w:tcPr>
                <w:p w14:paraId="0D817CC0">
                  <w:pPr>
                    <w:pStyle w:val="57"/>
                    <w:spacing w:line="240" w:lineRule="auto"/>
                    <w:rPr>
                      <w:rFonts w:hint="eastAsia" w:eastAsia="宋体"/>
                      <w:color w:val="000000"/>
                      <w:sz w:val="18"/>
                      <w:szCs w:val="18"/>
                      <w:lang w:val="en-US" w:eastAsia="zh-CN"/>
                    </w:rPr>
                  </w:pPr>
                  <w:r>
                    <w:rPr>
                      <w:rFonts w:hint="eastAsia"/>
                      <w:color w:val="000000"/>
                      <w:sz w:val="18"/>
                      <w:szCs w:val="18"/>
                      <w:lang w:val="en-US" w:eastAsia="zh-CN"/>
                    </w:rPr>
                    <w:t>/</w:t>
                  </w:r>
                </w:p>
              </w:tc>
            </w:tr>
          </w:tbl>
          <w:p w14:paraId="21D66D4E">
            <w:pPr>
              <w:pStyle w:val="44"/>
              <w:spacing w:line="360" w:lineRule="auto"/>
              <w:ind w:firstLine="420" w:firstLineChars="200"/>
              <w:jc w:val="both"/>
              <w:rPr>
                <w:rFonts w:hint="eastAsia"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根据</w:t>
            </w:r>
            <w:r>
              <w:rPr>
                <w:rFonts w:hint="default" w:ascii="Times New Roman" w:hAnsi="Times New Roman" w:cs="Times New Roman"/>
                <w:b w:val="0"/>
                <w:bCs/>
                <w:color w:val="auto"/>
                <w:sz w:val="21"/>
                <w:szCs w:val="21"/>
              </w:rPr>
              <w:t>《一般工业固体废物贮存和填埋污染控制标准》（GB 18599-2020）</w:t>
            </w:r>
            <w:r>
              <w:rPr>
                <w:rFonts w:hint="default" w:ascii="Times New Roman" w:hAnsi="Times New Roman" w:cs="Times New Roman"/>
                <w:b w:val="0"/>
                <w:bCs/>
                <w:color w:val="auto"/>
                <w:sz w:val="21"/>
                <w:szCs w:val="21"/>
                <w:lang w:eastAsia="zh-CN"/>
              </w:rPr>
              <w:t>要求，采用库房、包装工具（罐、桶、包装袋等）贮存一般工业固体废物的其贮存过程应满足相应防渗漏、防雨淋、防扬尘等环境保护要求</w:t>
            </w:r>
            <w:r>
              <w:rPr>
                <w:rFonts w:hint="default" w:ascii="Times New Roman" w:hAnsi="Times New Roman" w:cs="Times New Roman"/>
                <w:b w:val="0"/>
                <w:bCs/>
                <w:color w:val="auto"/>
                <w:sz w:val="21"/>
                <w:szCs w:val="21"/>
              </w:rPr>
              <w:t>；危险废物和废化学品包装桶在厂区暂存执行</w:t>
            </w:r>
            <w:bookmarkStart w:id="1" w:name="OLE_LINK54"/>
            <w:r>
              <w:rPr>
                <w:rFonts w:hint="default" w:ascii="Times New Roman" w:hAnsi="Times New Roman" w:cs="Times New Roman"/>
                <w:b w:val="0"/>
                <w:bCs/>
                <w:color w:val="auto"/>
                <w:sz w:val="21"/>
                <w:szCs w:val="21"/>
              </w:rPr>
              <w:t>GB18597-20</w:t>
            </w:r>
            <w:r>
              <w:rPr>
                <w:rFonts w:hint="eastAsia" w:cs="Times New Roman"/>
                <w:b w:val="0"/>
                <w:bCs/>
                <w:color w:val="auto"/>
                <w:sz w:val="21"/>
                <w:szCs w:val="21"/>
                <w:lang w:val="en-US" w:eastAsia="zh-CN"/>
              </w:rPr>
              <w:t>23</w:t>
            </w:r>
            <w:r>
              <w:rPr>
                <w:rFonts w:hint="default" w:ascii="Times New Roman" w:hAnsi="Times New Roman" w:cs="Times New Roman"/>
                <w:b w:val="0"/>
                <w:bCs/>
                <w:color w:val="auto"/>
                <w:sz w:val="21"/>
                <w:szCs w:val="21"/>
              </w:rPr>
              <w:t>《危险废物贮存污染控制标准》的相关规定</w:t>
            </w:r>
            <w:bookmarkEnd w:id="1"/>
            <w:r>
              <w:rPr>
                <w:rFonts w:hint="eastAsia" w:ascii="Times New Roman" w:hAnsi="Times New Roman" w:cs="Times New Roman"/>
                <w:b w:val="0"/>
                <w:bCs/>
                <w:color w:val="auto"/>
                <w:sz w:val="21"/>
                <w:szCs w:val="21"/>
                <w:lang w:eastAsia="zh-CN"/>
              </w:rPr>
              <w:t>。</w:t>
            </w:r>
          </w:p>
          <w:p w14:paraId="5C205018">
            <w:pPr>
              <w:snapToGrid w:val="0"/>
              <w:spacing w:line="360" w:lineRule="auto"/>
              <w:ind w:firstLine="480"/>
              <w:rPr>
                <w:rFonts w:hint="default" w:ascii="Times New Roman" w:hAnsi="Times New Roman" w:cs="Times New Roman"/>
                <w:color w:val="auto"/>
                <w:sz w:val="21"/>
                <w:szCs w:val="21"/>
                <w:lang w:val="en-US" w:eastAsia="zh-CN"/>
              </w:rPr>
            </w:pPr>
            <w:r>
              <w:rPr>
                <w:rFonts w:hint="eastAsia"/>
                <w:lang w:val="en-US" w:eastAsia="zh-CN"/>
              </w:rPr>
              <w:t>（2）固废治理措施</w:t>
            </w:r>
          </w:p>
          <w:p w14:paraId="2280DB39">
            <w:pPr>
              <w:pStyle w:val="44"/>
              <w:numPr>
                <w:ilvl w:val="0"/>
                <w:numId w:val="0"/>
              </w:numPr>
              <w:spacing w:line="360" w:lineRule="auto"/>
              <w:ind w:left="480" w:leftChars="0"/>
              <w:jc w:val="both"/>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①</w:t>
            </w:r>
            <w:r>
              <w:rPr>
                <w:rFonts w:hint="eastAsia" w:ascii="Times New Roman" w:hAnsi="Times New Roman" w:eastAsia="宋体" w:cs="Times New Roman"/>
                <w:b/>
                <w:bCs/>
                <w:color w:val="auto"/>
                <w:kern w:val="2"/>
                <w:sz w:val="21"/>
                <w:szCs w:val="21"/>
                <w:lang w:val="en-US" w:eastAsia="zh-CN" w:bidi="ar-SA"/>
              </w:rPr>
              <w:t>一般工业固废处置措施</w:t>
            </w:r>
          </w:p>
          <w:p w14:paraId="6CC1477B">
            <w:pPr>
              <w:pStyle w:val="44"/>
              <w:widowControl w:val="0"/>
              <w:numPr>
                <w:ilvl w:val="0"/>
                <w:numId w:val="0"/>
              </w:numPr>
              <w:wordWrap/>
              <w:adjustRightInd/>
              <w:snapToGrid/>
              <w:spacing w:line="360"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建设单位将按照《一般工业固体废物贮存和填埋污染控制标准》（</w:t>
            </w:r>
            <w:r>
              <w:rPr>
                <w:rFonts w:hint="default" w:ascii="Times New Roman" w:hAnsi="Times New Roman" w:eastAsia="宋体" w:cs="Times New Roman"/>
                <w:b w:val="0"/>
                <w:bCs w:val="0"/>
                <w:color w:val="auto"/>
                <w:sz w:val="21"/>
                <w:szCs w:val="21"/>
                <w:lang w:val="en-US" w:eastAsia="zh-CN"/>
              </w:rPr>
              <w:t>GB18599-2020</w:t>
            </w:r>
            <w:r>
              <w:rPr>
                <w:rFonts w:hint="eastAsia" w:ascii="宋体" w:hAnsi="宋体" w:eastAsia="宋体" w:cs="宋体"/>
                <w:b w:val="0"/>
                <w:bCs w:val="0"/>
                <w:color w:val="auto"/>
                <w:sz w:val="21"/>
                <w:szCs w:val="21"/>
                <w:lang w:val="en-US" w:eastAsia="zh-CN"/>
              </w:rPr>
              <w:t>）要求，采用库房、包装工具（罐、桶、包装袋等）贮存一般工业固体废物的其贮存过程应满足相应防渗、防雨淋、防扬尘等环境保护要求。</w:t>
            </w:r>
          </w:p>
          <w:p w14:paraId="643F9ABD">
            <w:pPr>
              <w:pStyle w:val="44"/>
              <w:numPr>
                <w:ilvl w:val="0"/>
                <w:numId w:val="0"/>
              </w:numPr>
              <w:spacing w:line="360" w:lineRule="auto"/>
              <w:ind w:left="480" w:leftChars="0"/>
              <w:jc w:val="both"/>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②</w:t>
            </w:r>
            <w:r>
              <w:rPr>
                <w:rFonts w:hint="eastAsia" w:ascii="Times New Roman" w:hAnsi="Times New Roman" w:eastAsia="宋体" w:cs="Times New Roman"/>
                <w:b/>
                <w:bCs/>
                <w:color w:val="auto"/>
                <w:kern w:val="2"/>
                <w:sz w:val="21"/>
                <w:szCs w:val="21"/>
                <w:lang w:val="en-US" w:eastAsia="zh-CN" w:bidi="ar-SA"/>
              </w:rPr>
              <w:t>危险废物处置措施</w:t>
            </w:r>
          </w:p>
          <w:p w14:paraId="6EFA0D6C">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eastAsia="宋体"/>
                <w:bCs/>
                <w:color w:val="auto"/>
                <w:szCs w:val="21"/>
                <w:lang w:val="en-US" w:eastAsia="zh-CN"/>
              </w:rPr>
              <w:t>建设单位应参照GB18597-20</w:t>
            </w:r>
            <w:r>
              <w:rPr>
                <w:rFonts w:hint="eastAsia"/>
                <w:bCs/>
                <w:color w:val="auto"/>
                <w:szCs w:val="21"/>
                <w:lang w:val="en-US" w:eastAsia="zh-CN"/>
              </w:rPr>
              <w:t>23</w:t>
            </w:r>
            <w:r>
              <w:rPr>
                <w:rFonts w:hint="eastAsia" w:eastAsia="宋体"/>
                <w:bCs/>
                <w:color w:val="auto"/>
                <w:szCs w:val="21"/>
                <w:lang w:val="en-US" w:eastAsia="zh-CN"/>
              </w:rPr>
              <w:t>《危险废物贮存污染控制标准》</w:t>
            </w:r>
            <w:r>
              <w:rPr>
                <w:rFonts w:hint="eastAsia"/>
                <w:bCs/>
                <w:color w:val="auto"/>
                <w:szCs w:val="21"/>
                <w:lang w:val="en-US" w:eastAsia="zh-CN"/>
              </w:rPr>
              <w:t>（2023年7月1日起实施）</w:t>
            </w:r>
            <w:r>
              <w:rPr>
                <w:rFonts w:hint="eastAsia" w:eastAsia="宋体"/>
                <w:bCs/>
                <w:color w:val="auto"/>
                <w:szCs w:val="21"/>
                <w:lang w:val="en-US" w:eastAsia="zh-CN"/>
              </w:rPr>
              <w:t>要求，对厂区内危险废物暂存区进一步规范化，做好地面硬化、防渗措施，并能满足承载力要求，设置必要的防风、防雨、防晒措施。</w:t>
            </w:r>
          </w:p>
          <w:p w14:paraId="39E3B8BA">
            <w:pPr>
              <w:widowControl/>
              <w:numPr>
                <w:ilvl w:val="0"/>
                <w:numId w:val="0"/>
              </w:numPr>
              <w:wordWrap/>
              <w:adjustRightInd w:val="0"/>
              <w:snapToGrid w:val="0"/>
              <w:spacing w:after="0" w:line="360" w:lineRule="auto"/>
              <w:ind w:firstLine="420" w:firstLineChars="200"/>
              <w:jc w:val="both"/>
              <w:textAlignment w:val="auto"/>
              <w:rPr>
                <w:rFonts w:hint="eastAsia" w:eastAsia="宋体"/>
                <w:b w:val="0"/>
                <w:bCs/>
                <w:color w:val="auto"/>
                <w:szCs w:val="21"/>
                <w:lang w:val="en-US" w:eastAsia="zh-CN"/>
              </w:rPr>
            </w:pPr>
            <w:r>
              <w:rPr>
                <w:rFonts w:hint="eastAsia" w:eastAsia="宋体"/>
                <w:b w:val="0"/>
                <w:bCs/>
                <w:color w:val="auto"/>
                <w:szCs w:val="21"/>
                <w:lang w:val="en-US" w:eastAsia="zh-CN"/>
              </w:rPr>
              <w:t>对危险废物的收集、暂存和运输还应满足以下要求：</w:t>
            </w:r>
          </w:p>
          <w:p w14:paraId="1E89DFA1">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bCs/>
                <w:color w:val="auto"/>
                <w:szCs w:val="21"/>
                <w:lang w:val="en-US" w:eastAsia="zh-CN"/>
              </w:rPr>
              <w:t>A.</w:t>
            </w:r>
            <w:r>
              <w:rPr>
                <w:rFonts w:hint="eastAsia" w:eastAsia="宋体"/>
                <w:bCs/>
                <w:color w:val="auto"/>
                <w:szCs w:val="21"/>
                <w:lang w:val="en-US" w:eastAsia="zh-CN"/>
              </w:rPr>
              <w:t>危险废物的收集包装</w:t>
            </w:r>
          </w:p>
          <w:p w14:paraId="1B98C599">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eastAsia="宋体"/>
                <w:bCs/>
                <w:color w:val="auto"/>
                <w:szCs w:val="21"/>
                <w:lang w:val="en-US" w:eastAsia="zh-CN"/>
              </w:rPr>
              <w:t>有符合要求的包装容器、收集人员的个人防护设备；危险废物的收集容器应在醒目位置贴有危险废物标签，在收集场所醒目的地方设置危险废物警告标识；危险废物标签应标明以下信息：主要化学成分或危险废物名称、数量、物理形态、危险类别、安全措施以及危险废物产生单位名称、地址、联系人及电话。</w:t>
            </w:r>
          </w:p>
          <w:p w14:paraId="3DD8EC75">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bCs/>
                <w:color w:val="auto"/>
                <w:szCs w:val="21"/>
                <w:lang w:val="en-US" w:eastAsia="zh-CN"/>
              </w:rPr>
              <w:t>B.</w:t>
            </w:r>
            <w:r>
              <w:rPr>
                <w:rFonts w:hint="eastAsia" w:eastAsia="宋体"/>
                <w:bCs/>
                <w:color w:val="auto"/>
                <w:szCs w:val="21"/>
                <w:lang w:val="en-US" w:eastAsia="zh-CN"/>
              </w:rPr>
              <w:t>危险废物的暂存要求</w:t>
            </w:r>
          </w:p>
          <w:p w14:paraId="49FFCF1D">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eastAsia="宋体"/>
                <w:bCs/>
                <w:color w:val="auto"/>
                <w:szCs w:val="21"/>
                <w:lang w:val="en-US" w:eastAsia="zh-CN"/>
              </w:rPr>
              <w:t>按</w:t>
            </w:r>
            <w:r>
              <w:rPr>
                <w:rFonts w:hint="eastAsia"/>
                <w:bCs/>
                <w:color w:val="auto"/>
                <w:szCs w:val="21"/>
                <w:lang w:val="en-US" w:eastAsia="zh-CN"/>
              </w:rPr>
              <w:t>HJ1276-2022</w:t>
            </w:r>
            <w:r>
              <w:rPr>
                <w:rFonts w:hint="eastAsia" w:eastAsia="宋体"/>
                <w:bCs/>
                <w:color w:val="auto"/>
                <w:szCs w:val="21"/>
                <w:lang w:val="en-US" w:eastAsia="zh-CN"/>
              </w:rPr>
              <w:t>《</w:t>
            </w:r>
            <w:r>
              <w:rPr>
                <w:rFonts w:hint="eastAsia"/>
                <w:bCs/>
                <w:color w:val="auto"/>
                <w:szCs w:val="21"/>
                <w:lang w:val="en-US" w:eastAsia="zh-CN"/>
              </w:rPr>
              <w:t>危险废物识别标志设置技术规范</w:t>
            </w:r>
            <w:r>
              <w:rPr>
                <w:rFonts w:hint="eastAsia" w:eastAsia="宋体"/>
                <w:bCs/>
                <w:color w:val="auto"/>
                <w:szCs w:val="21"/>
                <w:lang w:val="en-US" w:eastAsia="zh-CN"/>
              </w:rPr>
              <w:t>》设置警示标志；必须有耐腐蚀的硬化地面和基础防渗层，地面无裂隙；设施底部必须高于地下水最高水位；要有隔离设施或其它防护栅栏；应配备通讯设备、照明设施、安全防护服装及工具，并设有报警装置和应急防护设施。</w:t>
            </w:r>
          </w:p>
          <w:p w14:paraId="5BE7BD4B">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bCs/>
                <w:color w:val="auto"/>
                <w:szCs w:val="21"/>
                <w:lang w:val="en-US" w:eastAsia="zh-CN"/>
              </w:rPr>
              <w:t>C.</w:t>
            </w:r>
            <w:r>
              <w:rPr>
                <w:rFonts w:hint="eastAsia" w:eastAsia="宋体"/>
                <w:bCs/>
                <w:color w:val="auto"/>
                <w:szCs w:val="21"/>
                <w:lang w:val="en-US" w:eastAsia="zh-CN"/>
              </w:rPr>
              <w:t>危险废物的运输要求</w:t>
            </w:r>
          </w:p>
          <w:p w14:paraId="14626174">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eastAsia="宋体"/>
                <w:bCs/>
                <w:color w:val="auto"/>
                <w:szCs w:val="21"/>
                <w:lang w:val="en-US" w:eastAsia="zh-CN"/>
              </w:rPr>
              <w:t>危险废物的运输应采取危险废物转移“五联单”制度，保证运输安全，防止非法转移和非法处置，保证危险废物的安全监控，防止危险废物污染事故发生。危险废物转移应符合《危险废物转移联单管理办法》有关规定。</w:t>
            </w:r>
          </w:p>
          <w:p w14:paraId="0CEFA68E">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bCs/>
                <w:color w:val="auto"/>
                <w:szCs w:val="21"/>
                <w:lang w:val="en-US" w:eastAsia="zh-CN"/>
              </w:rPr>
              <w:t>D.</w:t>
            </w:r>
            <w:r>
              <w:rPr>
                <w:rFonts w:hint="eastAsia" w:eastAsia="宋体"/>
                <w:bCs/>
                <w:color w:val="auto"/>
                <w:szCs w:val="21"/>
                <w:lang w:val="en-US" w:eastAsia="zh-CN"/>
              </w:rPr>
              <w:t>危险废物日常管理要求</w:t>
            </w:r>
          </w:p>
          <w:p w14:paraId="5A80E3A3">
            <w:pPr>
              <w:widowControl/>
              <w:numPr>
                <w:ilvl w:val="0"/>
                <w:numId w:val="0"/>
              </w:numPr>
              <w:wordWrap/>
              <w:adjustRightInd w:val="0"/>
              <w:snapToGrid w:val="0"/>
              <w:spacing w:after="0" w:line="360" w:lineRule="auto"/>
              <w:ind w:firstLine="420" w:firstLineChars="200"/>
              <w:jc w:val="both"/>
              <w:textAlignment w:val="auto"/>
              <w:rPr>
                <w:rFonts w:hint="eastAsia" w:ascii="Times New Roman" w:hAnsi="Times New Roman" w:eastAsia="宋体" w:cs="Times New Roman"/>
                <w:b w:val="0"/>
                <w:bCs/>
                <w:color w:val="auto"/>
                <w:sz w:val="21"/>
                <w:szCs w:val="21"/>
                <w:lang w:val="en-US" w:eastAsia="zh-CN"/>
              </w:rPr>
            </w:pPr>
            <w:r>
              <w:rPr>
                <w:rFonts w:hint="eastAsia" w:eastAsia="宋体"/>
                <w:bCs/>
                <w:color w:val="auto"/>
                <w:szCs w:val="21"/>
                <w:lang w:val="en-US" w:eastAsia="zh-CN"/>
              </w:rPr>
              <w:t>健全危险废物管理制度，危险废物由专人管理、登记，制定产生、收集、贮存、处置和交接等制度，明确责任人，定期检查厂区危险废物暂存场所地面硬化情况。</w:t>
            </w:r>
          </w:p>
          <w:p w14:paraId="0BD08261">
            <w:pPr>
              <w:autoSpaceDE w:val="0"/>
              <w:autoSpaceDN w:val="0"/>
              <w:adjustRightInd w:val="0"/>
              <w:spacing w:line="360" w:lineRule="auto"/>
              <w:ind w:left="0" w:leftChars="0"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b/>
                <w:bCs/>
                <w:lang w:val="en-US" w:eastAsia="zh-CN"/>
              </w:rPr>
              <w:t>5.地下水和土壤</w:t>
            </w:r>
          </w:p>
          <w:p w14:paraId="4E0789AB">
            <w:pPr>
              <w:autoSpaceDE w:val="0"/>
              <w:autoSpaceDN w:val="0"/>
              <w:adjustRightInd w:val="0"/>
              <w:spacing w:line="360" w:lineRule="auto"/>
              <w:ind w:firstLine="422"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地下水环境：</w:t>
            </w:r>
            <w:r>
              <w:rPr>
                <w:rFonts w:hint="eastAsia"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生活污水</w:t>
            </w:r>
            <w:r>
              <w:rPr>
                <w:rFonts w:hint="eastAsia" w:ascii="Times New Roman" w:hAnsi="Times New Roman" w:eastAsia="宋体" w:cs="Times New Roman"/>
                <w:color w:val="auto"/>
                <w:sz w:val="21"/>
                <w:szCs w:val="21"/>
                <w:lang w:val="en-US" w:eastAsia="zh-CN"/>
              </w:rPr>
              <w:t>经化粪池处理后接入市政管网，污水管道及废水处理设施未有渗漏，对地下水不会产生影响。为了防止渗漏发生，项目应定期检查污水管道</w:t>
            </w:r>
            <w:r>
              <w:rPr>
                <w:rFonts w:hint="eastAsia" w:cs="Times New Roman"/>
                <w:color w:val="auto"/>
                <w:sz w:val="21"/>
                <w:szCs w:val="21"/>
                <w:lang w:val="en-US" w:eastAsia="zh-CN"/>
              </w:rPr>
              <w:t>与</w:t>
            </w:r>
            <w:r>
              <w:rPr>
                <w:rFonts w:hint="eastAsia" w:ascii="Times New Roman" w:hAnsi="Times New Roman" w:eastAsia="宋体" w:cs="Times New Roman"/>
                <w:color w:val="auto"/>
                <w:sz w:val="21"/>
                <w:szCs w:val="21"/>
                <w:lang w:val="en-US" w:eastAsia="zh-CN"/>
              </w:rPr>
              <w:t>化粪池，发生渗漏应及时维护修补，防止废水渗漏对地下水造成不利影响。项目生产过程中产生的</w:t>
            </w:r>
            <w:r>
              <w:rPr>
                <w:rFonts w:hint="eastAsia" w:cs="Times New Roman"/>
                <w:color w:val="auto"/>
                <w:sz w:val="21"/>
                <w:szCs w:val="21"/>
                <w:lang w:val="en-US" w:eastAsia="zh-CN"/>
              </w:rPr>
              <w:t>漆渣</w:t>
            </w:r>
            <w:r>
              <w:rPr>
                <w:rFonts w:hint="eastAsia" w:ascii="Times New Roman" w:hAnsi="Times New Roman" w:eastAsia="宋体" w:cs="Times New Roman"/>
                <w:color w:val="auto"/>
                <w:sz w:val="21"/>
                <w:szCs w:val="21"/>
                <w:lang w:val="en-US" w:eastAsia="zh-CN"/>
              </w:rPr>
              <w:t>等危险废物</w:t>
            </w:r>
            <w:r>
              <w:rPr>
                <w:rFonts w:hint="eastAsia" w:cs="Times New Roman"/>
                <w:color w:val="auto"/>
                <w:sz w:val="21"/>
                <w:szCs w:val="21"/>
                <w:lang w:val="en-US" w:eastAsia="zh-CN"/>
              </w:rPr>
              <w:t>和原料空桶</w:t>
            </w:r>
            <w:r>
              <w:rPr>
                <w:rFonts w:hint="eastAsia" w:ascii="Times New Roman" w:hAnsi="Times New Roman" w:eastAsia="宋体" w:cs="Times New Roman"/>
                <w:color w:val="auto"/>
                <w:sz w:val="21"/>
                <w:szCs w:val="21"/>
                <w:lang w:val="en-US" w:eastAsia="zh-CN"/>
              </w:rPr>
              <w:t>，集中收集暂存于危废暂存间，危废间地面应做好防渗措施，在地面刷一层环氧树脂漆，经采取防御措施后，废水、危废间不会有渗漏液对地下水造成不利影响</w:t>
            </w:r>
            <w:r>
              <w:rPr>
                <w:rFonts w:hint="default" w:ascii="Times New Roman" w:hAnsi="Times New Roman" w:eastAsia="宋体" w:cs="Times New Roman"/>
                <w:color w:val="auto"/>
                <w:kern w:val="0"/>
                <w:sz w:val="21"/>
                <w:szCs w:val="21"/>
                <w:highlight w:val="none"/>
                <w:lang w:val="en-US" w:eastAsia="zh-CN" w:bidi="ar-SA"/>
              </w:rPr>
              <w:t>。</w:t>
            </w:r>
          </w:p>
          <w:p w14:paraId="33E57437">
            <w:pPr>
              <w:spacing w:line="360" w:lineRule="auto"/>
              <w:rPr>
                <w:rFonts w:hint="default"/>
                <w:b w:val="0"/>
                <w:bCs w:val="0"/>
                <w:lang w:val="en-US" w:eastAsia="zh-CN"/>
              </w:rPr>
            </w:pPr>
            <w:r>
              <w:rPr>
                <w:rFonts w:hint="eastAsia"/>
                <w:b/>
                <w:bCs/>
                <w:lang w:val="en-US" w:eastAsia="zh-CN"/>
              </w:rPr>
              <w:t>土壤环境：</w:t>
            </w:r>
            <w:r>
              <w:rPr>
                <w:rFonts w:hint="eastAsia" w:ascii="Times New Roman" w:hAnsi="Times New Roman" w:eastAsia="宋体" w:cs="Times New Roman"/>
                <w:color w:val="auto"/>
                <w:sz w:val="21"/>
                <w:szCs w:val="21"/>
                <w:lang w:val="en-US" w:eastAsia="zh-CN"/>
              </w:rPr>
              <w:t>根据《环境影响评价技术导则—土壤环境（试行）》（HJ964-2018）中附录 A“土壤环境影响评价项目类别”中相关规定：本项目属于“</w:t>
            </w:r>
            <w:r>
              <w:rPr>
                <w:rFonts w:hint="eastAsia" w:cs="Times New Roman"/>
                <w:color w:val="auto"/>
                <w:sz w:val="21"/>
                <w:szCs w:val="21"/>
                <w:lang w:val="en-US" w:eastAsia="zh-CN"/>
              </w:rPr>
              <w:t>其他行业</w:t>
            </w:r>
            <w:r>
              <w:rPr>
                <w:rFonts w:hint="eastAsia" w:ascii="Times New Roman" w:hAnsi="Times New Roman" w:eastAsia="宋体" w:cs="Times New Roman"/>
                <w:color w:val="auto"/>
                <w:sz w:val="21"/>
                <w:szCs w:val="21"/>
                <w:lang w:val="en-US" w:eastAsia="zh-CN"/>
              </w:rPr>
              <w:t>”类，因此本项目的项目类别属于“Ⅳ类”，无需开展土壤环境影响评价。</w:t>
            </w:r>
          </w:p>
          <w:p w14:paraId="3C2071F2">
            <w:pPr>
              <w:autoSpaceDE w:val="0"/>
              <w:autoSpaceDN w:val="0"/>
              <w:adjustRightInd w:val="0"/>
              <w:spacing w:line="360" w:lineRule="auto"/>
              <w:ind w:left="0" w:leftChars="0"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b/>
                <w:bCs/>
                <w:lang w:val="en-US" w:eastAsia="zh-CN"/>
              </w:rPr>
              <w:t>6.生态环境</w:t>
            </w:r>
          </w:p>
          <w:p w14:paraId="5E530CEF">
            <w:pPr>
              <w:widowControl/>
              <w:numPr>
                <w:ilvl w:val="0"/>
                <w:numId w:val="0"/>
              </w:numPr>
              <w:wordWrap/>
              <w:adjustRightInd w:val="0"/>
              <w:snapToGrid w:val="0"/>
              <w:spacing w:after="0" w:line="360" w:lineRule="auto"/>
              <w:ind w:firstLine="420" w:firstLineChars="200"/>
              <w:jc w:val="both"/>
              <w:textAlignment w:val="auto"/>
              <w:rPr>
                <w:rFonts w:hint="eastAsia" w:eastAsia="宋体"/>
                <w:bCs/>
                <w:color w:val="auto"/>
                <w:szCs w:val="21"/>
                <w:lang w:val="en-US" w:eastAsia="zh-CN"/>
              </w:rPr>
            </w:pPr>
            <w:r>
              <w:rPr>
                <w:rFonts w:hint="eastAsia" w:eastAsia="宋体"/>
                <w:bCs/>
                <w:color w:val="auto"/>
                <w:szCs w:val="21"/>
                <w:lang w:val="en-US" w:eastAsia="zh-CN"/>
              </w:rPr>
              <w:t>项目租赁厂区内原有厂房进行生产，不新增用地，因此，本次环评不对生态影响进行分析。</w:t>
            </w:r>
          </w:p>
          <w:p w14:paraId="6DDCC4C9">
            <w:pPr>
              <w:widowControl/>
              <w:numPr>
                <w:ilvl w:val="0"/>
                <w:numId w:val="0"/>
              </w:numPr>
              <w:wordWrap/>
              <w:adjustRightInd w:val="0"/>
              <w:snapToGrid w:val="0"/>
              <w:spacing w:after="0" w:line="360" w:lineRule="auto"/>
              <w:jc w:val="both"/>
              <w:textAlignment w:val="auto"/>
              <w:rPr>
                <w:rFonts w:hint="eastAsia" w:eastAsia="宋体"/>
                <w:b/>
                <w:bCs/>
                <w:color w:val="auto"/>
                <w:szCs w:val="21"/>
                <w:lang w:val="en-US" w:eastAsia="zh-CN"/>
              </w:rPr>
            </w:pPr>
            <w:r>
              <w:rPr>
                <w:rFonts w:hint="eastAsia"/>
                <w:b/>
                <w:bCs/>
                <w:lang w:val="en-US" w:eastAsia="zh-CN"/>
              </w:rPr>
              <w:t>7.环境风险</w:t>
            </w:r>
          </w:p>
          <w:p w14:paraId="69FC8B0A">
            <w:pPr>
              <w:pStyle w:val="6"/>
              <w:widowControl w:val="0"/>
              <w:numPr>
                <w:ilvl w:val="0"/>
                <w:numId w:val="0"/>
              </w:numPr>
              <w:wordWrap/>
              <w:adjustRightInd/>
              <w:snapToGrid/>
              <w:spacing w:line="360" w:lineRule="auto"/>
              <w:ind w:right="0" w:firstLine="422" w:firstLineChars="200"/>
              <w:textAlignment w:val="auto"/>
              <w:rPr>
                <w:rFonts w:hint="default"/>
                <w:b/>
                <w:bCs/>
                <w:lang w:val="en-US" w:eastAsia="zh-CN"/>
              </w:rPr>
            </w:pPr>
            <w:r>
              <w:rPr>
                <w:rFonts w:hint="eastAsia"/>
                <w:b/>
                <w:bCs/>
                <w:lang w:val="en-US" w:eastAsia="zh-CN"/>
              </w:rPr>
              <w:t>（1）风险源调查</w:t>
            </w:r>
          </w:p>
          <w:p w14:paraId="7AC5C540">
            <w:pPr>
              <w:pStyle w:val="6"/>
              <w:widowControl w:val="0"/>
              <w:numPr>
                <w:ilvl w:val="0"/>
                <w:numId w:val="0"/>
              </w:numPr>
              <w:wordWrap/>
              <w:adjustRightInd/>
              <w:snapToGrid/>
              <w:spacing w:line="360" w:lineRule="auto"/>
              <w:ind w:right="0" w:firstLine="420" w:firstLineChars="200"/>
              <w:textAlignment w:val="auto"/>
              <w:rPr>
                <w:rFonts w:hint="eastAsia" w:ascii="Times New Roman" w:hAnsi="Times New Roman" w:cs="Times New Roman"/>
                <w:sz w:val="21"/>
                <w:szCs w:val="21"/>
                <w:lang w:val="en-US" w:eastAsia="zh-CN"/>
              </w:rPr>
            </w:pPr>
            <w:r>
              <w:rPr>
                <w:rFonts w:hint="eastAsia"/>
                <w:lang w:val="en-US" w:eastAsia="zh-CN"/>
              </w:rPr>
              <w:t>根据项目的生产工艺特点，使用的原辅助材料可知，本项目生产过程中的主要环境风险物质是底漆、面漆和稀释剂</w:t>
            </w:r>
            <w:r>
              <w:rPr>
                <w:rFonts w:hint="eastAsia"/>
                <w:color w:val="auto"/>
                <w:szCs w:val="21"/>
                <w:lang w:val="en-US" w:eastAsia="zh-CN"/>
              </w:rPr>
              <w:t>含有的少量甲苯、二甲苯和乙酸乙酯和乙酸丁酯</w:t>
            </w:r>
            <w:r>
              <w:rPr>
                <w:rFonts w:hint="eastAsia"/>
                <w:color w:val="auto"/>
                <w:szCs w:val="21"/>
                <w:lang w:eastAsia="zh-CN"/>
              </w:rPr>
              <w:t>。</w:t>
            </w:r>
            <w:r>
              <w:rPr>
                <w:rFonts w:hint="eastAsia"/>
                <w:color w:val="auto"/>
                <w:szCs w:val="21"/>
                <w:lang w:val="en-US" w:eastAsia="zh-CN"/>
              </w:rPr>
              <w:t>根据“表2-5  项目原辅材料规格及理化性质”可知，底漆、面漆和稀释剂仅给出乙酸丁酯等有机溶剂的百分含量（可能含有乙酸乙酯），而</w:t>
            </w:r>
            <w:r>
              <w:rPr>
                <w:rFonts w:ascii="宋体" w:hAnsi="宋体" w:eastAsia="宋体" w:cs="宋体"/>
                <w:sz w:val="21"/>
                <w:szCs w:val="21"/>
              </w:rPr>
              <w:t>《建设项目环境风险评价技术导则》（</w:t>
            </w:r>
            <w:r>
              <w:rPr>
                <w:rFonts w:hint="default" w:ascii="Times New Roman" w:hAnsi="Times New Roman" w:eastAsia="宋体" w:cs="Times New Roman"/>
                <w:sz w:val="21"/>
                <w:szCs w:val="21"/>
              </w:rPr>
              <w:t>HJ169-2018</w:t>
            </w:r>
            <w:r>
              <w:rPr>
                <w:rFonts w:ascii="宋体" w:hAnsi="宋体" w:eastAsia="宋体" w:cs="宋体"/>
                <w:sz w:val="21"/>
                <w:szCs w:val="21"/>
              </w:rPr>
              <w:t>）</w:t>
            </w:r>
            <w:r>
              <w:rPr>
                <w:rFonts w:hint="default" w:ascii="Times New Roman" w:hAnsi="Times New Roman" w:eastAsia="宋体" w:cs="Times New Roman"/>
                <w:sz w:val="21"/>
                <w:szCs w:val="21"/>
              </w:rPr>
              <w:t>附录B中表B.1中</w:t>
            </w:r>
            <w:r>
              <w:rPr>
                <w:rFonts w:hint="eastAsia" w:ascii="Times New Roman" w:hAnsi="Times New Roman" w:cs="Times New Roman"/>
                <w:sz w:val="21"/>
                <w:szCs w:val="21"/>
                <w:lang w:val="en-US" w:eastAsia="zh-CN"/>
              </w:rPr>
              <w:t>仅给出乙酸乙酯的临界量，因此，本项目将乙酸丁酯等有机溶剂的百分含量作为乙酸乙酯的百分含量。</w:t>
            </w:r>
          </w:p>
          <w:p w14:paraId="3041394B">
            <w:pPr>
              <w:spacing w:line="360" w:lineRule="auto"/>
              <w:rPr>
                <w:rFonts w:hint="default"/>
                <w:lang w:val="en-US" w:eastAsia="zh-CN"/>
              </w:rPr>
            </w:pPr>
            <w:r>
              <w:rPr>
                <w:rFonts w:hint="eastAsia" w:ascii="Times New Roman" w:hAnsi="Times New Roman" w:cs="Times New Roman"/>
                <w:sz w:val="21"/>
                <w:szCs w:val="21"/>
                <w:lang w:val="en-US" w:eastAsia="zh-CN"/>
              </w:rPr>
              <w:t>企业每次最多贮存一个季度的用量，</w:t>
            </w:r>
            <w:r>
              <w:rPr>
                <w:rFonts w:hint="eastAsia"/>
                <w:lang w:val="en-US" w:eastAsia="zh-CN"/>
              </w:rPr>
              <w:t>而甲苯、二甲苯、乙酸乙酯的年用量分别0.43t、0.0.43t、2.66t，因此甲苯、二甲苯、乙酸乙酯的最大贮存量分别0.1t、0.1t、0.7t。</w:t>
            </w:r>
          </w:p>
          <w:p w14:paraId="6AAB3B4E">
            <w:pPr>
              <w:pStyle w:val="6"/>
              <w:widowControl w:val="0"/>
              <w:numPr>
                <w:ilvl w:val="0"/>
                <w:numId w:val="0"/>
              </w:numPr>
              <w:wordWrap/>
              <w:adjustRightInd/>
              <w:snapToGrid/>
              <w:spacing w:line="360" w:lineRule="auto"/>
              <w:ind w:right="0" w:firstLine="420" w:firstLineChars="200"/>
              <w:textAlignment w:val="auto"/>
              <w:rPr>
                <w:rFonts w:ascii="宋体" w:hAnsi="宋体" w:eastAsia="宋体" w:cs="宋体"/>
                <w:sz w:val="21"/>
                <w:szCs w:val="21"/>
              </w:rPr>
            </w:pPr>
            <w:r>
              <w:rPr>
                <w:rFonts w:ascii="宋体" w:hAnsi="宋体" w:eastAsia="宋体" w:cs="宋体"/>
                <w:sz w:val="21"/>
                <w:szCs w:val="21"/>
              </w:rPr>
              <w:t>项目危险化学品与《建设项目环境风险评价技术导则》（</w:t>
            </w:r>
            <w:r>
              <w:rPr>
                <w:rFonts w:hint="default" w:ascii="Times New Roman" w:hAnsi="Times New Roman" w:eastAsia="宋体" w:cs="Times New Roman"/>
                <w:sz w:val="21"/>
                <w:szCs w:val="21"/>
              </w:rPr>
              <w:t>HJ169-2018</w:t>
            </w:r>
            <w:r>
              <w:rPr>
                <w:rFonts w:ascii="宋体" w:hAnsi="宋体" w:eastAsia="宋体" w:cs="宋体"/>
                <w:sz w:val="21"/>
                <w:szCs w:val="21"/>
              </w:rPr>
              <w:t>）</w:t>
            </w:r>
            <w:r>
              <w:rPr>
                <w:rFonts w:hint="default" w:ascii="Times New Roman" w:hAnsi="Times New Roman" w:eastAsia="宋体" w:cs="Times New Roman"/>
                <w:sz w:val="21"/>
                <w:szCs w:val="21"/>
              </w:rPr>
              <w:t>附录B中表B.1中的对照结果如表4-</w:t>
            </w:r>
            <w:r>
              <w:rPr>
                <w:rFonts w:hint="default" w:ascii="Times New Roman" w:hAnsi="Times New Roman" w:eastAsia="宋体" w:cs="Times New Roman"/>
                <w:sz w:val="21"/>
                <w:szCs w:val="21"/>
                <w:lang w:val="en-US" w:eastAsia="zh-CN"/>
              </w:rPr>
              <w:t>1</w:t>
            </w:r>
            <w:r>
              <w:rPr>
                <w:rFonts w:hint="eastAsia" w:cs="Times New Roman"/>
                <w:sz w:val="21"/>
                <w:szCs w:val="21"/>
                <w:lang w:val="en-US" w:eastAsia="zh-CN"/>
              </w:rPr>
              <w:t>6</w:t>
            </w:r>
            <w:r>
              <w:rPr>
                <w:rFonts w:hint="default" w:ascii="Times New Roman" w:hAnsi="Times New Roman" w:eastAsia="宋体" w:cs="Times New Roman"/>
                <w:sz w:val="21"/>
                <w:szCs w:val="21"/>
              </w:rPr>
              <w:t>。</w:t>
            </w:r>
          </w:p>
          <w:p w14:paraId="5F912F02">
            <w:pPr>
              <w:widowControl/>
              <w:adjustRightInd w:val="0"/>
              <w:snapToGrid w:val="0"/>
              <w:spacing w:line="360" w:lineRule="auto"/>
              <w:ind w:firstLine="422" w:firstLineChars="200"/>
              <w:jc w:val="center"/>
              <w:rPr>
                <w:rFonts w:hint="default" w:ascii="Times New Roman" w:hAnsi="Times New Roman" w:eastAsia="宋体" w:cs="Times New Roman"/>
                <w:color w:val="auto"/>
                <w:lang w:val="en-US" w:eastAsia="zh-CN"/>
              </w:rPr>
            </w:pPr>
            <w:r>
              <w:rPr>
                <w:rFonts w:hint="eastAsia" w:ascii="Times New Roman" w:hAnsi="Times New Roman" w:cs="Times New Roman"/>
                <w:b/>
                <w:bCs/>
                <w:color w:val="auto"/>
                <w:lang w:val="en-US" w:eastAsia="zh-CN"/>
              </w:rPr>
              <w:t>表4-1</w:t>
            </w:r>
            <w:r>
              <w:rPr>
                <w:rFonts w:hint="eastAsia" w:cs="Times New Roman"/>
                <w:b/>
                <w:bCs/>
                <w:color w:val="auto"/>
                <w:lang w:val="en-US" w:eastAsia="zh-CN"/>
              </w:rPr>
              <w:t xml:space="preserve">6  </w:t>
            </w:r>
            <w:r>
              <w:rPr>
                <w:rFonts w:hint="eastAsia" w:ascii="Times New Roman" w:hAnsi="Times New Roman" w:cs="Times New Roman"/>
                <w:b/>
                <w:bCs/>
                <w:color w:val="auto"/>
                <w:lang w:val="en-US" w:eastAsia="zh-CN"/>
              </w:rPr>
              <w:t>项目危险化学品储存情况一览表</w:t>
            </w:r>
          </w:p>
          <w:tbl>
            <w:tblPr>
              <w:tblStyle w:val="17"/>
              <w:tblW w:w="78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1651"/>
              <w:gridCol w:w="1487"/>
              <w:gridCol w:w="1598"/>
            </w:tblGrid>
            <w:tr w14:paraId="19702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68" w:type="dxa"/>
                  <w:tcBorders>
                    <w:tl2br w:val="nil"/>
                    <w:tr2bl w:val="nil"/>
                  </w:tcBorders>
                  <w:vAlign w:val="center"/>
                </w:tcPr>
                <w:p w14:paraId="432CF0DF">
                  <w:pPr>
                    <w:widowControl/>
                    <w:numPr>
                      <w:ilvl w:val="0"/>
                      <w:numId w:val="0"/>
                    </w:numPr>
                    <w:wordWrap/>
                    <w:adjustRightInd w:val="0"/>
                    <w:snapToGrid w:val="0"/>
                    <w:spacing w:after="0" w:line="240" w:lineRule="auto"/>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物质名称</w:t>
                  </w:r>
                </w:p>
              </w:tc>
              <w:tc>
                <w:tcPr>
                  <w:tcW w:w="1568" w:type="dxa"/>
                  <w:tcBorders>
                    <w:tl2br w:val="nil"/>
                    <w:tr2bl w:val="nil"/>
                  </w:tcBorders>
                  <w:vAlign w:val="center"/>
                </w:tcPr>
                <w:p w14:paraId="32C82757">
                  <w:pPr>
                    <w:widowControl/>
                    <w:numPr>
                      <w:ilvl w:val="0"/>
                      <w:numId w:val="0"/>
                    </w:numPr>
                    <w:wordWrap/>
                    <w:adjustRightInd w:val="0"/>
                    <w:snapToGrid w:val="0"/>
                    <w:spacing w:after="0" w:line="240" w:lineRule="auto"/>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危险特点</w:t>
                  </w:r>
                </w:p>
              </w:tc>
              <w:tc>
                <w:tcPr>
                  <w:tcW w:w="1651" w:type="dxa"/>
                  <w:tcBorders>
                    <w:tl2br w:val="nil"/>
                    <w:tr2bl w:val="nil"/>
                  </w:tcBorders>
                  <w:vAlign w:val="center"/>
                </w:tcPr>
                <w:p w14:paraId="7739B892">
                  <w:pPr>
                    <w:widowControl/>
                    <w:numPr>
                      <w:ilvl w:val="0"/>
                      <w:numId w:val="0"/>
                    </w:numPr>
                    <w:wordWrap/>
                    <w:adjustRightInd w:val="0"/>
                    <w:snapToGrid w:val="0"/>
                    <w:spacing w:after="0" w:line="240" w:lineRule="auto"/>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企业最大贮存量/t</w:t>
                  </w:r>
                </w:p>
              </w:tc>
              <w:tc>
                <w:tcPr>
                  <w:tcW w:w="1487" w:type="dxa"/>
                  <w:tcBorders>
                    <w:tl2br w:val="nil"/>
                    <w:tr2bl w:val="nil"/>
                  </w:tcBorders>
                  <w:vAlign w:val="center"/>
                </w:tcPr>
                <w:p w14:paraId="3C2FD92E">
                  <w:pPr>
                    <w:widowControl/>
                    <w:numPr>
                      <w:ilvl w:val="0"/>
                      <w:numId w:val="0"/>
                    </w:numPr>
                    <w:wordWrap/>
                    <w:adjustRightInd w:val="0"/>
                    <w:snapToGrid w:val="0"/>
                    <w:spacing w:after="0" w:line="240" w:lineRule="auto"/>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临界量/t</w:t>
                  </w:r>
                </w:p>
              </w:tc>
              <w:tc>
                <w:tcPr>
                  <w:tcW w:w="1598" w:type="dxa"/>
                  <w:tcBorders>
                    <w:tl2br w:val="nil"/>
                    <w:tr2bl w:val="nil"/>
                  </w:tcBorders>
                  <w:vAlign w:val="center"/>
                </w:tcPr>
                <w:p w14:paraId="2DFEF732">
                  <w:pPr>
                    <w:widowControl/>
                    <w:numPr>
                      <w:ilvl w:val="0"/>
                      <w:numId w:val="0"/>
                    </w:numPr>
                    <w:wordWrap/>
                    <w:adjustRightInd w:val="0"/>
                    <w:snapToGrid w:val="0"/>
                    <w:spacing w:after="0" w:line="240" w:lineRule="auto"/>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比值（Q)</w:t>
                  </w:r>
                </w:p>
              </w:tc>
            </w:tr>
            <w:tr w14:paraId="245AB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68" w:type="dxa"/>
                  <w:tcBorders>
                    <w:tl2br w:val="nil"/>
                    <w:tr2bl w:val="nil"/>
                  </w:tcBorders>
                  <w:vAlign w:val="center"/>
                </w:tcPr>
                <w:p w14:paraId="783DEAA1">
                  <w:pPr>
                    <w:widowControl/>
                    <w:numPr>
                      <w:ilvl w:val="0"/>
                      <w:numId w:val="0"/>
                    </w:numPr>
                    <w:wordWrap/>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sz w:val="18"/>
                      <w:szCs w:val="18"/>
                      <w:lang w:val="en-US" w:eastAsia="zh-CN"/>
                    </w:rPr>
                    <w:t>甲苯</w:t>
                  </w:r>
                </w:p>
              </w:tc>
              <w:tc>
                <w:tcPr>
                  <w:tcW w:w="1568" w:type="dxa"/>
                  <w:tcBorders>
                    <w:tl2br w:val="nil"/>
                    <w:tr2bl w:val="nil"/>
                  </w:tcBorders>
                  <w:vAlign w:val="center"/>
                </w:tcPr>
                <w:p w14:paraId="7D30CB25">
                  <w:pPr>
                    <w:widowControl/>
                    <w:numPr>
                      <w:ilvl w:val="0"/>
                      <w:numId w:val="0"/>
                    </w:numPr>
                    <w:wordWrap/>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b w:val="0"/>
                      <w:bCs/>
                      <w:color w:val="auto"/>
                      <w:sz w:val="18"/>
                      <w:szCs w:val="18"/>
                      <w:lang w:val="en-US" w:eastAsia="zh-CN"/>
                    </w:rPr>
                    <w:t>易燃</w:t>
                  </w:r>
                </w:p>
              </w:tc>
              <w:tc>
                <w:tcPr>
                  <w:tcW w:w="1651" w:type="dxa"/>
                  <w:tcBorders>
                    <w:tl2br w:val="nil"/>
                    <w:tr2bl w:val="nil"/>
                  </w:tcBorders>
                  <w:vAlign w:val="center"/>
                </w:tcPr>
                <w:p w14:paraId="045E262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487" w:type="dxa"/>
                  <w:tcBorders>
                    <w:tl2br w:val="nil"/>
                    <w:tr2bl w:val="nil"/>
                  </w:tcBorders>
                  <w:vAlign w:val="center"/>
                </w:tcPr>
                <w:p w14:paraId="472C1A8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598" w:type="dxa"/>
                  <w:tcBorders>
                    <w:tl2br w:val="nil"/>
                    <w:tr2bl w:val="nil"/>
                  </w:tcBorders>
                  <w:vAlign w:val="center"/>
                </w:tcPr>
                <w:p w14:paraId="6CB62EA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7DAA4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68" w:type="dxa"/>
                  <w:tcBorders>
                    <w:tl2br w:val="nil"/>
                    <w:tr2bl w:val="nil"/>
                  </w:tcBorders>
                  <w:vAlign w:val="center"/>
                </w:tcPr>
                <w:p w14:paraId="33B1182A">
                  <w:pPr>
                    <w:widowControl/>
                    <w:numPr>
                      <w:ilvl w:val="0"/>
                      <w:numId w:val="0"/>
                    </w:numPr>
                    <w:wordWrap/>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sz w:val="18"/>
                      <w:szCs w:val="18"/>
                      <w:lang w:val="en-US" w:eastAsia="zh-CN"/>
                    </w:rPr>
                    <w:t>二甲苯</w:t>
                  </w:r>
                </w:p>
              </w:tc>
              <w:tc>
                <w:tcPr>
                  <w:tcW w:w="1568" w:type="dxa"/>
                  <w:tcBorders>
                    <w:tl2br w:val="nil"/>
                    <w:tr2bl w:val="nil"/>
                  </w:tcBorders>
                  <w:vAlign w:val="center"/>
                </w:tcPr>
                <w:p w14:paraId="4755A88B">
                  <w:pPr>
                    <w:widowControl/>
                    <w:numPr>
                      <w:ilvl w:val="0"/>
                      <w:numId w:val="0"/>
                    </w:numPr>
                    <w:wordWrap/>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b w:val="0"/>
                      <w:bCs/>
                      <w:color w:val="auto"/>
                      <w:sz w:val="18"/>
                      <w:szCs w:val="18"/>
                      <w:lang w:val="en-US" w:eastAsia="zh-CN"/>
                    </w:rPr>
                    <w:t>易燃</w:t>
                  </w:r>
                </w:p>
              </w:tc>
              <w:tc>
                <w:tcPr>
                  <w:tcW w:w="1651" w:type="dxa"/>
                  <w:tcBorders>
                    <w:tl2br w:val="nil"/>
                    <w:tr2bl w:val="nil"/>
                  </w:tcBorders>
                  <w:vAlign w:val="center"/>
                </w:tcPr>
                <w:p w14:paraId="25E9D0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487" w:type="dxa"/>
                  <w:tcBorders>
                    <w:tl2br w:val="nil"/>
                    <w:tr2bl w:val="nil"/>
                  </w:tcBorders>
                  <w:vAlign w:val="center"/>
                </w:tcPr>
                <w:p w14:paraId="0285C3E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598" w:type="dxa"/>
                  <w:tcBorders>
                    <w:tl2br w:val="nil"/>
                    <w:tr2bl w:val="nil"/>
                  </w:tcBorders>
                  <w:vAlign w:val="center"/>
                </w:tcPr>
                <w:p w14:paraId="351FA8A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75CAF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68" w:type="dxa"/>
                  <w:tcBorders>
                    <w:tl2br w:val="nil"/>
                    <w:tr2bl w:val="nil"/>
                  </w:tcBorders>
                  <w:vAlign w:val="center"/>
                </w:tcPr>
                <w:p w14:paraId="2BFCAC96">
                  <w:pPr>
                    <w:widowControl/>
                    <w:numPr>
                      <w:ilvl w:val="0"/>
                      <w:numId w:val="0"/>
                    </w:numPr>
                    <w:wordWrap/>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kern w:val="2"/>
                      <w:sz w:val="18"/>
                      <w:szCs w:val="18"/>
                      <w:lang w:val="en-US" w:eastAsia="zh-CN" w:bidi="ar-SA"/>
                    </w:rPr>
                    <w:t>乙酸乙酯</w:t>
                  </w:r>
                </w:p>
              </w:tc>
              <w:tc>
                <w:tcPr>
                  <w:tcW w:w="1568" w:type="dxa"/>
                  <w:tcBorders>
                    <w:tl2br w:val="nil"/>
                    <w:tr2bl w:val="nil"/>
                  </w:tcBorders>
                  <w:vAlign w:val="center"/>
                </w:tcPr>
                <w:p w14:paraId="270CFDAB">
                  <w:pPr>
                    <w:widowControl/>
                    <w:numPr>
                      <w:ilvl w:val="0"/>
                      <w:numId w:val="0"/>
                    </w:numPr>
                    <w:wordWrap/>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b w:val="0"/>
                      <w:bCs/>
                      <w:color w:val="auto"/>
                      <w:sz w:val="18"/>
                      <w:szCs w:val="18"/>
                      <w:lang w:val="en-US" w:eastAsia="zh-CN"/>
                    </w:rPr>
                    <w:t>易燃</w:t>
                  </w:r>
                </w:p>
              </w:tc>
              <w:tc>
                <w:tcPr>
                  <w:tcW w:w="1651" w:type="dxa"/>
                  <w:tcBorders>
                    <w:tl2br w:val="nil"/>
                    <w:tr2bl w:val="nil"/>
                  </w:tcBorders>
                  <w:vAlign w:val="center"/>
                </w:tcPr>
                <w:p w14:paraId="4F111E7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0.7</w:t>
                  </w:r>
                </w:p>
              </w:tc>
              <w:tc>
                <w:tcPr>
                  <w:tcW w:w="1487" w:type="dxa"/>
                  <w:tcBorders>
                    <w:tl2br w:val="nil"/>
                    <w:tr2bl w:val="nil"/>
                  </w:tcBorders>
                  <w:vAlign w:val="center"/>
                </w:tcPr>
                <w:p w14:paraId="63F55EF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598" w:type="dxa"/>
                  <w:tcBorders>
                    <w:tl2br w:val="nil"/>
                    <w:tr2bl w:val="nil"/>
                  </w:tcBorders>
                  <w:vAlign w:val="center"/>
                </w:tcPr>
                <w:p w14:paraId="249CE1A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0.07</w:t>
                  </w:r>
                </w:p>
              </w:tc>
            </w:tr>
            <w:tr w14:paraId="1FA1F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74" w:type="dxa"/>
                  <w:gridSpan w:val="4"/>
                  <w:tcBorders>
                    <w:tl2br w:val="nil"/>
                    <w:tr2bl w:val="nil"/>
                  </w:tcBorders>
                  <w:vAlign w:val="center"/>
                </w:tcPr>
                <w:p w14:paraId="303FC843">
                  <w:pPr>
                    <w:widowControl/>
                    <w:numPr>
                      <w:ilvl w:val="0"/>
                      <w:numId w:val="0"/>
                    </w:numPr>
                    <w:wordWrap/>
                    <w:adjustRightInd w:val="0"/>
                    <w:snapToGrid w:val="0"/>
                    <w:spacing w:after="0" w:line="240" w:lineRule="auto"/>
                    <w:jc w:val="center"/>
                    <w:textAlignment w:val="auto"/>
                    <w:rPr>
                      <w:rFonts w:hint="default" w:ascii="Times New Roman" w:hAnsi="Times New Roman"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合计</w:t>
                  </w:r>
                </w:p>
              </w:tc>
              <w:tc>
                <w:tcPr>
                  <w:tcW w:w="1598" w:type="dxa"/>
                  <w:tcBorders>
                    <w:tl2br w:val="nil"/>
                    <w:tr2bl w:val="nil"/>
                  </w:tcBorders>
                  <w:vAlign w:val="center"/>
                </w:tcPr>
                <w:p w14:paraId="0F409BD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0.09</w:t>
                  </w:r>
                </w:p>
              </w:tc>
            </w:tr>
          </w:tbl>
          <w:p w14:paraId="6CBCE2E0">
            <w:pPr>
              <w:adjustRightInd w:val="0"/>
              <w:snapToGrid w:val="0"/>
              <w:spacing w:line="360" w:lineRule="auto"/>
              <w:ind w:firstLine="420" w:firstLineChars="200"/>
              <w:rPr>
                <w:rFonts w:hint="eastAsia" w:ascii="宋体" w:hAnsi="宋体" w:eastAsia="宋体" w:cs="宋体"/>
                <w:sz w:val="21"/>
                <w:szCs w:val="21"/>
                <w:lang w:eastAsia="zh-CN"/>
              </w:rPr>
            </w:pPr>
            <w:r>
              <w:rPr>
                <w:rFonts w:hint="eastAsia"/>
                <w:lang w:val="en-US" w:eastAsia="zh-CN"/>
              </w:rPr>
              <w:t xml:space="preserve">由上表可知，本项目Q=0.09&lt;1，环境风险潜势判断为 </w:t>
            </w:r>
            <w:r>
              <w:rPr>
                <w:rFonts w:hint="default" w:ascii="Times New Roman" w:hAnsi="Times New Roman" w:eastAsia="宋体" w:cs="Times New Roman"/>
                <w:sz w:val="21"/>
                <w:szCs w:val="21"/>
              </w:rPr>
              <w:t>Ⅰ</w:t>
            </w:r>
            <w:r>
              <w:rPr>
                <w:rFonts w:hint="eastAsia" w:ascii="Times New Roman" w:hAnsi="Times New Roman" w:cs="Times New Roman"/>
                <w:sz w:val="21"/>
                <w:szCs w:val="21"/>
                <w:lang w:val="en-US" w:eastAsia="zh-CN"/>
              </w:rPr>
              <w:t xml:space="preserve"> 级，根据</w:t>
            </w:r>
            <w:r>
              <w:rPr>
                <w:rFonts w:ascii="宋体" w:hAnsi="宋体" w:eastAsia="宋体" w:cs="宋体"/>
                <w:sz w:val="21"/>
                <w:szCs w:val="21"/>
              </w:rPr>
              <w:t>《建设项目环境风险评价技术导则》（</w:t>
            </w:r>
            <w:r>
              <w:rPr>
                <w:rFonts w:hint="default" w:ascii="Times New Roman" w:hAnsi="Times New Roman" w:eastAsia="宋体" w:cs="Times New Roman"/>
                <w:sz w:val="21"/>
                <w:szCs w:val="21"/>
              </w:rPr>
              <w:t>HJ169-2018</w:t>
            </w:r>
            <w:r>
              <w:rPr>
                <w:rFonts w:ascii="宋体" w:hAnsi="宋体" w:eastAsia="宋体" w:cs="宋体"/>
                <w:sz w:val="21"/>
                <w:szCs w:val="21"/>
              </w:rPr>
              <w:t>）表</w:t>
            </w:r>
            <w:r>
              <w:rPr>
                <w:rFonts w:hint="default" w:ascii="Times New Roman" w:hAnsi="Times New Roman" w:eastAsia="宋体" w:cs="Times New Roman"/>
                <w:sz w:val="21"/>
                <w:szCs w:val="21"/>
              </w:rPr>
              <w:t>1</w:t>
            </w:r>
            <w:r>
              <w:rPr>
                <w:rFonts w:ascii="宋体" w:hAnsi="宋体" w:eastAsia="宋体" w:cs="宋体"/>
                <w:sz w:val="21"/>
                <w:szCs w:val="21"/>
              </w:rPr>
              <w:t>评价工作等级划分可知，本项目</w:t>
            </w:r>
            <w:r>
              <w:rPr>
                <w:rFonts w:hint="eastAsia" w:ascii="宋体" w:hAnsi="宋体" w:eastAsia="宋体" w:cs="宋体"/>
                <w:sz w:val="21"/>
                <w:szCs w:val="21"/>
                <w:lang w:eastAsia="zh-CN"/>
              </w:rPr>
              <w:t>可仅展开</w:t>
            </w:r>
            <w:r>
              <w:rPr>
                <w:rFonts w:ascii="宋体" w:hAnsi="宋体" w:eastAsia="宋体" w:cs="宋体"/>
                <w:sz w:val="21"/>
                <w:szCs w:val="21"/>
              </w:rPr>
              <w:t>简单分析</w:t>
            </w:r>
            <w:r>
              <w:rPr>
                <w:rFonts w:hint="eastAsia" w:ascii="宋体" w:hAnsi="宋体" w:cs="宋体"/>
                <w:sz w:val="21"/>
                <w:szCs w:val="21"/>
                <w:lang w:eastAsia="zh-CN"/>
              </w:rPr>
              <w:t>。</w:t>
            </w:r>
          </w:p>
          <w:p w14:paraId="090B3825">
            <w:pPr>
              <w:numPr>
                <w:ilvl w:val="0"/>
                <w:numId w:val="0"/>
              </w:numPr>
              <w:ind w:left="420" w:leftChars="0"/>
              <w:rPr>
                <w:rFonts w:hint="eastAsia"/>
                <w:b/>
                <w:bCs/>
                <w:lang w:val="en-US" w:eastAsia="zh-CN"/>
              </w:rPr>
            </w:pPr>
            <w:r>
              <w:rPr>
                <w:rFonts w:hint="eastAsia"/>
                <w:b/>
                <w:bCs/>
                <w:lang w:val="en-US" w:eastAsia="zh-CN"/>
              </w:rPr>
              <w:t>（2）环境风险潜势初判</w:t>
            </w:r>
          </w:p>
          <w:p w14:paraId="0F05BE8D">
            <w:pPr>
              <w:widowControl w:val="0"/>
              <w:spacing w:before="0" w:beforeAutospacing="0" w:after="0" w:afterAutospacing="0" w:line="360" w:lineRule="auto"/>
              <w:ind w:left="0" w:right="0" w:firstLine="210" w:firstLineChars="100"/>
              <w:jc w:val="left"/>
              <w:rPr>
                <w:rFonts w:hint="eastAsia"/>
              </w:rPr>
            </w:pPr>
            <w:r>
              <w:rPr>
                <w:rFonts w:hint="eastAsia"/>
                <w:lang w:val="en-US" w:eastAsia="zh-CN"/>
              </w:rPr>
              <w:t>计算所涉及的每种危险物质在厂界内的最大存在总量与其在 《建设项目环境风险评价技术导则》（</w:t>
            </w:r>
            <w:r>
              <w:rPr>
                <w:rFonts w:hint="default"/>
                <w:lang w:val="en-US" w:eastAsia="zh-CN"/>
              </w:rPr>
              <w:t>HJ169-2018</w:t>
            </w:r>
            <w:r>
              <w:rPr>
                <w:rFonts w:hint="eastAsia"/>
                <w:lang w:val="en-US" w:eastAsia="zh-CN"/>
              </w:rPr>
              <w:t>）附录</w:t>
            </w:r>
            <w:r>
              <w:rPr>
                <w:rFonts w:hint="default"/>
                <w:lang w:val="en-US" w:eastAsia="zh-CN"/>
              </w:rPr>
              <w:t>B</w:t>
            </w:r>
            <w:r>
              <w:rPr>
                <w:rFonts w:hint="eastAsia"/>
                <w:lang w:val="en-US" w:eastAsia="zh-CN"/>
              </w:rPr>
              <w:t>中对应临界量的比值</w:t>
            </w:r>
            <w:r>
              <w:rPr>
                <w:rFonts w:hint="default"/>
                <w:lang w:val="en-US" w:eastAsia="zh-CN"/>
              </w:rPr>
              <w:t>Q</w:t>
            </w:r>
            <w:r>
              <w:rPr>
                <w:rFonts w:hint="eastAsia"/>
                <w:lang w:val="en-US" w:eastAsia="zh-CN"/>
              </w:rPr>
              <w:t>。在不同厂区的同一种物质，按其在厂界内的最大存在总量计算。</w:t>
            </w:r>
          </w:p>
          <w:p w14:paraId="749A45CD">
            <w:pPr>
              <w:widowControl w:val="0"/>
              <w:spacing w:before="0" w:beforeAutospacing="0" w:after="0" w:afterAutospacing="0" w:line="360" w:lineRule="auto"/>
              <w:ind w:left="0" w:right="0" w:firstLine="210" w:firstLineChars="100"/>
              <w:jc w:val="left"/>
              <w:rPr>
                <w:rFonts w:hint="eastAsia"/>
                <w:lang w:val="en-US" w:eastAsia="zh-CN"/>
              </w:rPr>
            </w:pPr>
            <w:r>
              <w:rPr>
                <w:rFonts w:hint="eastAsia"/>
                <w:lang w:val="en-US" w:eastAsia="zh-CN"/>
              </w:rPr>
              <w:t>当企业只涉及一种风险物质时，该物质的数量与其临界量的比值，即为</w:t>
            </w:r>
            <w:r>
              <w:rPr>
                <w:rFonts w:hint="default"/>
                <w:lang w:val="en-US" w:eastAsia="zh-CN"/>
              </w:rPr>
              <w:t>Q</w:t>
            </w:r>
            <w:r>
              <w:rPr>
                <w:rFonts w:hint="eastAsia"/>
                <w:lang w:val="en-US" w:eastAsia="zh-CN"/>
              </w:rPr>
              <w:t>。</w:t>
            </w:r>
          </w:p>
          <w:p w14:paraId="5B260F5F">
            <w:pPr>
              <w:widowControl w:val="0"/>
              <w:spacing w:before="0" w:beforeAutospacing="0" w:after="0" w:afterAutospacing="0" w:line="360" w:lineRule="auto"/>
              <w:ind w:left="0" w:right="0" w:firstLine="210" w:firstLineChars="100"/>
              <w:jc w:val="center"/>
              <w:rPr>
                <w:rFonts w:hint="eastAsia"/>
                <w:lang w:val="en-US" w:eastAsia="zh-CN"/>
              </w:rPr>
            </w:pPr>
            <w:r>
              <w:rPr>
                <w:rFonts w:ascii="Times New Roman" w:hAnsi="Times New Roman" w:eastAsia="宋体" w:cs="黑体"/>
                <w:kern w:val="2"/>
                <w:sz w:val="21"/>
                <w:szCs w:val="24"/>
                <w:lang w:val="en-US" w:eastAsia="zh-CN" w:bidi="ar-SA"/>
              </w:rPr>
              <w:drawing>
                <wp:inline distT="0" distB="0" distL="114300" distR="114300">
                  <wp:extent cx="2133600" cy="590550"/>
                  <wp:effectExtent l="0" t="0" r="0"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4">
                            <a:lum/>
                          </a:blip>
                          <a:stretch>
                            <a:fillRect/>
                          </a:stretch>
                        </pic:blipFill>
                        <pic:spPr>
                          <a:xfrm>
                            <a:off x="0" y="0"/>
                            <a:ext cx="2133600" cy="590550"/>
                          </a:xfrm>
                          <a:prstGeom prst="rect">
                            <a:avLst/>
                          </a:prstGeom>
                          <a:noFill/>
                          <a:ln>
                            <a:noFill/>
                          </a:ln>
                        </pic:spPr>
                      </pic:pic>
                    </a:graphicData>
                  </a:graphic>
                </wp:inline>
              </w:drawing>
            </w:r>
          </w:p>
          <w:p w14:paraId="5E8750E0">
            <w:pPr>
              <w:widowControl w:val="0"/>
              <w:spacing w:before="0" w:beforeAutospacing="0" w:after="0" w:afterAutospacing="0" w:line="360" w:lineRule="auto"/>
              <w:ind w:left="0" w:right="0" w:firstLine="210" w:firstLineChars="100"/>
              <w:jc w:val="left"/>
              <w:rPr>
                <w:rFonts w:hint="eastAsia"/>
              </w:rPr>
            </w:pPr>
            <w:r>
              <w:rPr>
                <w:rFonts w:hint="eastAsia"/>
                <w:lang w:val="en-US" w:eastAsia="zh-CN"/>
              </w:rPr>
              <w:t>当企业存在多种化学物质时，则按下式计算物质总量与其临界量比值（</w:t>
            </w:r>
            <w:r>
              <w:rPr>
                <w:rFonts w:hint="default"/>
                <w:lang w:val="en-US" w:eastAsia="zh-CN"/>
              </w:rPr>
              <w:t>Q</w:t>
            </w:r>
            <w:r>
              <w:rPr>
                <w:rFonts w:hint="eastAsia"/>
                <w:lang w:val="en-US" w:eastAsia="zh-CN"/>
              </w:rPr>
              <w:t xml:space="preserve">）： </w:t>
            </w:r>
          </w:p>
          <w:p w14:paraId="3BA44C7A">
            <w:pPr>
              <w:widowControl w:val="0"/>
              <w:spacing w:before="0" w:beforeAutospacing="0" w:after="0" w:afterAutospacing="0" w:line="360" w:lineRule="auto"/>
              <w:ind w:left="0" w:right="0" w:firstLine="210" w:firstLineChars="100"/>
              <w:jc w:val="left"/>
              <w:rPr>
                <w:rFonts w:hint="eastAsia"/>
              </w:rPr>
            </w:pPr>
            <w:r>
              <w:rPr>
                <w:rFonts w:hint="eastAsia"/>
                <w:lang w:val="en-US" w:eastAsia="zh-CN"/>
              </w:rPr>
              <w:t>式中：</w:t>
            </w:r>
            <w:r>
              <w:rPr>
                <w:rFonts w:hint="default"/>
                <w:lang w:val="en-US" w:eastAsia="zh-CN"/>
              </w:rPr>
              <w:t>q</w:t>
            </w:r>
            <w:r>
              <w:rPr>
                <w:rFonts w:hint="default"/>
                <w:vertAlign w:val="subscript"/>
                <w:lang w:val="en-US" w:eastAsia="zh-CN"/>
              </w:rPr>
              <w:t>1</w:t>
            </w:r>
            <w:r>
              <w:rPr>
                <w:rFonts w:hint="eastAsia"/>
                <w:lang w:val="en-US" w:eastAsia="zh-CN"/>
              </w:rPr>
              <w:t>，</w:t>
            </w:r>
            <w:r>
              <w:rPr>
                <w:rFonts w:hint="default"/>
                <w:lang w:val="en-US" w:eastAsia="zh-CN"/>
              </w:rPr>
              <w:t>q</w:t>
            </w:r>
            <w:r>
              <w:rPr>
                <w:rFonts w:hint="default"/>
                <w:vertAlign w:val="subscript"/>
                <w:lang w:val="en-US" w:eastAsia="zh-CN"/>
              </w:rPr>
              <w:t>2</w:t>
            </w:r>
            <w:r>
              <w:rPr>
                <w:rFonts w:hint="eastAsia"/>
                <w:lang w:val="en-US" w:eastAsia="zh-CN"/>
              </w:rPr>
              <w:t>，</w:t>
            </w:r>
            <w:r>
              <w:rPr>
                <w:rFonts w:hint="default"/>
                <w:lang w:val="en-US" w:eastAsia="zh-CN"/>
              </w:rPr>
              <w:t>...</w:t>
            </w:r>
            <w:r>
              <w:rPr>
                <w:rFonts w:hint="eastAsia"/>
                <w:lang w:val="en-US" w:eastAsia="zh-CN"/>
              </w:rPr>
              <w:t>，</w:t>
            </w:r>
            <w:r>
              <w:rPr>
                <w:rFonts w:hint="default"/>
                <w:lang w:val="en-US" w:eastAsia="zh-CN"/>
              </w:rPr>
              <w:t>qn——</w:t>
            </w:r>
            <w:r>
              <w:rPr>
                <w:rFonts w:hint="eastAsia"/>
                <w:lang w:val="en-US" w:eastAsia="zh-CN"/>
              </w:rPr>
              <w:t>每种风险物质的存在量，</w:t>
            </w:r>
            <w:r>
              <w:rPr>
                <w:rFonts w:hint="default"/>
                <w:lang w:val="en-US" w:eastAsia="zh-CN"/>
              </w:rPr>
              <w:t>t</w:t>
            </w:r>
            <w:r>
              <w:rPr>
                <w:rFonts w:hint="eastAsia"/>
                <w:lang w:val="en-US" w:eastAsia="zh-CN"/>
              </w:rPr>
              <w:t xml:space="preserve">； </w:t>
            </w:r>
          </w:p>
          <w:p w14:paraId="3EC7A49C">
            <w:pPr>
              <w:widowControl w:val="0"/>
              <w:spacing w:before="0" w:beforeAutospacing="0" w:after="0" w:afterAutospacing="0" w:line="360" w:lineRule="auto"/>
              <w:ind w:left="0" w:right="0" w:firstLine="210" w:firstLineChars="100"/>
              <w:jc w:val="left"/>
              <w:rPr>
                <w:rFonts w:hint="eastAsia"/>
              </w:rPr>
            </w:pPr>
            <w:r>
              <w:rPr>
                <w:rFonts w:hint="default"/>
                <w:lang w:val="en-US" w:eastAsia="zh-CN"/>
              </w:rPr>
              <w:t>Q</w:t>
            </w:r>
            <w:r>
              <w:rPr>
                <w:rFonts w:hint="default"/>
                <w:vertAlign w:val="subscript"/>
                <w:lang w:val="en-US" w:eastAsia="zh-CN"/>
              </w:rPr>
              <w:t>1</w:t>
            </w:r>
            <w:r>
              <w:rPr>
                <w:rFonts w:hint="eastAsia"/>
                <w:lang w:val="en-US" w:eastAsia="zh-CN"/>
              </w:rPr>
              <w:t>，</w:t>
            </w:r>
            <w:r>
              <w:rPr>
                <w:rFonts w:hint="default"/>
                <w:lang w:val="en-US" w:eastAsia="zh-CN"/>
              </w:rPr>
              <w:t>Q</w:t>
            </w:r>
            <w:r>
              <w:rPr>
                <w:rFonts w:hint="default"/>
                <w:vertAlign w:val="subscript"/>
                <w:lang w:val="en-US" w:eastAsia="zh-CN"/>
              </w:rPr>
              <w:t>2</w:t>
            </w:r>
            <w:r>
              <w:rPr>
                <w:rFonts w:hint="eastAsia"/>
                <w:lang w:val="en-US" w:eastAsia="zh-CN"/>
              </w:rPr>
              <w:t>，</w:t>
            </w:r>
            <w:r>
              <w:rPr>
                <w:rFonts w:hint="default"/>
                <w:lang w:val="en-US" w:eastAsia="zh-CN"/>
              </w:rPr>
              <w:t>...</w:t>
            </w:r>
            <w:r>
              <w:rPr>
                <w:rFonts w:hint="eastAsia"/>
                <w:lang w:val="en-US" w:eastAsia="zh-CN"/>
              </w:rPr>
              <w:t>，</w:t>
            </w:r>
            <w:r>
              <w:rPr>
                <w:rFonts w:hint="default"/>
                <w:lang w:val="en-US" w:eastAsia="zh-CN"/>
              </w:rPr>
              <w:t>Qn——</w:t>
            </w:r>
            <w:r>
              <w:rPr>
                <w:rFonts w:hint="eastAsia"/>
                <w:lang w:val="en-US" w:eastAsia="zh-CN"/>
              </w:rPr>
              <w:t>每种风险物质的临界量，</w:t>
            </w:r>
            <w:r>
              <w:rPr>
                <w:rFonts w:hint="default"/>
                <w:lang w:val="en-US" w:eastAsia="zh-CN"/>
              </w:rPr>
              <w:t>t</w:t>
            </w:r>
            <w:r>
              <w:rPr>
                <w:rFonts w:hint="eastAsia"/>
                <w:lang w:val="en-US" w:eastAsia="zh-CN"/>
              </w:rPr>
              <w:t>。</w:t>
            </w:r>
          </w:p>
          <w:p w14:paraId="5DB0EF4F">
            <w:pPr>
              <w:widowControl w:val="0"/>
              <w:spacing w:before="0" w:beforeAutospacing="0" w:after="0" w:afterAutospacing="0" w:line="360" w:lineRule="auto"/>
              <w:ind w:left="0" w:right="0" w:firstLine="210" w:firstLineChars="100"/>
              <w:jc w:val="left"/>
              <w:rPr>
                <w:rFonts w:hint="eastAsia"/>
              </w:rPr>
            </w:pPr>
            <w:r>
              <w:rPr>
                <w:rFonts w:hint="eastAsia"/>
                <w:lang w:val="en-US" w:eastAsia="zh-CN"/>
              </w:rPr>
              <w:t>当</w:t>
            </w:r>
            <w:r>
              <w:rPr>
                <w:rFonts w:hint="default"/>
                <w:lang w:val="en-US" w:eastAsia="zh-CN"/>
              </w:rPr>
              <w:t xml:space="preserve">Q </w:t>
            </w:r>
            <w:r>
              <w:rPr>
                <w:rFonts w:hint="eastAsia"/>
                <w:lang w:val="en-US" w:eastAsia="zh-CN"/>
              </w:rPr>
              <w:t>＜</w:t>
            </w:r>
            <w:r>
              <w:rPr>
                <w:rFonts w:hint="default"/>
                <w:lang w:val="en-US" w:eastAsia="zh-CN"/>
              </w:rPr>
              <w:t xml:space="preserve">1 </w:t>
            </w:r>
            <w:r>
              <w:rPr>
                <w:rFonts w:hint="eastAsia"/>
                <w:lang w:val="en-US" w:eastAsia="zh-CN"/>
              </w:rPr>
              <w:t>时，该项目环境风险潜势为</w:t>
            </w:r>
            <w:r>
              <w:rPr>
                <w:rFonts w:hint="default"/>
                <w:lang w:val="en-US" w:eastAsia="zh-CN"/>
              </w:rPr>
              <w:t>I</w:t>
            </w:r>
            <w:r>
              <w:rPr>
                <w:rFonts w:hint="eastAsia"/>
                <w:lang w:val="en-US" w:eastAsia="zh-CN"/>
              </w:rPr>
              <w:t>。</w:t>
            </w:r>
          </w:p>
          <w:p w14:paraId="3B559B5A">
            <w:pPr>
              <w:numPr>
                <w:ilvl w:val="0"/>
                <w:numId w:val="0"/>
              </w:numPr>
              <w:ind w:leftChars="200"/>
              <w:rPr>
                <w:rFonts w:hint="default"/>
                <w:lang w:val="en-US" w:eastAsia="zh-CN"/>
              </w:rPr>
            </w:pPr>
            <w:r>
              <w:rPr>
                <w:rFonts w:hint="eastAsia"/>
                <w:lang w:val="en-US" w:eastAsia="zh-CN"/>
              </w:rPr>
              <w:t>当</w:t>
            </w:r>
            <w:r>
              <w:rPr>
                <w:rFonts w:hint="default"/>
                <w:lang w:val="en-US" w:eastAsia="zh-CN"/>
              </w:rPr>
              <w:t xml:space="preserve">Q ≥1 </w:t>
            </w:r>
            <w:r>
              <w:rPr>
                <w:rFonts w:hint="eastAsia"/>
                <w:lang w:val="en-US" w:eastAsia="zh-CN"/>
              </w:rPr>
              <w:t xml:space="preserve">时，将 </w:t>
            </w:r>
            <w:r>
              <w:rPr>
                <w:rFonts w:hint="default"/>
                <w:lang w:val="en-US" w:eastAsia="zh-CN"/>
              </w:rPr>
              <w:t xml:space="preserve">Q </w:t>
            </w:r>
            <w:r>
              <w:rPr>
                <w:rFonts w:hint="eastAsia"/>
                <w:lang w:val="en-US" w:eastAsia="zh-CN"/>
              </w:rPr>
              <w:t>值划分为：（</w:t>
            </w:r>
            <w:r>
              <w:rPr>
                <w:rFonts w:hint="default"/>
                <w:lang w:val="en-US" w:eastAsia="zh-CN"/>
              </w:rPr>
              <w:t>1</w:t>
            </w:r>
            <w:r>
              <w:rPr>
                <w:rFonts w:hint="eastAsia"/>
                <w:lang w:val="en-US" w:eastAsia="zh-CN"/>
              </w:rPr>
              <w:t>）</w:t>
            </w:r>
            <w:r>
              <w:rPr>
                <w:rFonts w:hint="default"/>
                <w:lang w:val="en-US" w:eastAsia="zh-CN"/>
              </w:rPr>
              <w:t>1≤Q</w:t>
            </w:r>
            <w:r>
              <w:rPr>
                <w:rFonts w:hint="eastAsia"/>
                <w:lang w:val="en-US" w:eastAsia="zh-CN"/>
              </w:rPr>
              <w:t>＜</w:t>
            </w:r>
            <w:r>
              <w:rPr>
                <w:rFonts w:hint="default"/>
                <w:lang w:val="en-US" w:eastAsia="zh-CN"/>
              </w:rPr>
              <w:t>10</w:t>
            </w:r>
            <w:r>
              <w:rPr>
                <w:rFonts w:hint="eastAsia"/>
                <w:lang w:val="en-US" w:eastAsia="zh-CN"/>
              </w:rPr>
              <w:t>；（</w:t>
            </w:r>
            <w:r>
              <w:rPr>
                <w:rFonts w:hint="default"/>
                <w:lang w:val="en-US" w:eastAsia="zh-CN"/>
              </w:rPr>
              <w:t>2</w:t>
            </w:r>
            <w:r>
              <w:rPr>
                <w:rFonts w:hint="eastAsia"/>
                <w:lang w:val="en-US" w:eastAsia="zh-CN"/>
              </w:rPr>
              <w:t>）</w:t>
            </w:r>
            <w:r>
              <w:rPr>
                <w:rFonts w:hint="default"/>
                <w:lang w:val="en-US" w:eastAsia="zh-CN"/>
              </w:rPr>
              <w:t>10≤Q</w:t>
            </w:r>
            <w:r>
              <w:rPr>
                <w:rFonts w:hint="eastAsia"/>
                <w:lang w:val="en-US" w:eastAsia="zh-CN"/>
              </w:rPr>
              <w:t>＜</w:t>
            </w:r>
            <w:r>
              <w:rPr>
                <w:rFonts w:hint="default"/>
                <w:lang w:val="en-US" w:eastAsia="zh-CN"/>
              </w:rPr>
              <w:t>100</w:t>
            </w:r>
            <w:r>
              <w:rPr>
                <w:rFonts w:hint="eastAsia"/>
                <w:lang w:val="en-US" w:eastAsia="zh-CN"/>
              </w:rPr>
              <w:t>；（</w:t>
            </w:r>
            <w:r>
              <w:rPr>
                <w:rFonts w:hint="default"/>
                <w:lang w:val="en-US" w:eastAsia="zh-CN"/>
              </w:rPr>
              <w:t>3</w:t>
            </w:r>
            <w:r>
              <w:rPr>
                <w:rFonts w:hint="eastAsia"/>
                <w:lang w:val="en-US" w:eastAsia="zh-CN"/>
              </w:rPr>
              <w:t>）</w:t>
            </w:r>
            <w:r>
              <w:rPr>
                <w:rFonts w:hint="default"/>
                <w:lang w:val="en-US" w:eastAsia="zh-CN"/>
              </w:rPr>
              <w:t>Q≥100</w:t>
            </w:r>
          </w:p>
          <w:p w14:paraId="39074D90">
            <w:pPr>
              <w:rPr>
                <w:rFonts w:hint="eastAsia"/>
                <w:lang w:val="en-US" w:eastAsia="zh-CN"/>
              </w:rPr>
            </w:pPr>
            <w:r>
              <w:rPr>
                <w:rFonts w:hint="eastAsia"/>
                <w:lang w:val="en-US" w:eastAsia="zh-CN"/>
              </w:rPr>
              <w:t>由上表可知项目Q为0.001＜</w:t>
            </w:r>
            <w:r>
              <w:rPr>
                <w:rFonts w:hint="default"/>
                <w:lang w:val="en-US" w:eastAsia="zh-CN"/>
              </w:rPr>
              <w:t>1</w:t>
            </w:r>
            <w:r>
              <w:rPr>
                <w:rFonts w:hint="eastAsia"/>
                <w:lang w:val="en-US" w:eastAsia="zh-CN"/>
              </w:rPr>
              <w:t>，初判为项目环境风险潜势为I级，仅可展开简单分析。</w:t>
            </w:r>
          </w:p>
          <w:p w14:paraId="193CF501">
            <w:pPr>
              <w:widowControl w:val="0"/>
              <w:wordWrap/>
              <w:adjustRightInd/>
              <w:snapToGrid/>
              <w:spacing w:before="0" w:beforeAutospacing="0" w:after="0" w:afterAutospacing="0" w:line="360" w:lineRule="auto"/>
              <w:ind w:left="0" w:right="0" w:firstLine="422" w:firstLineChars="200"/>
              <w:jc w:val="left"/>
              <w:textAlignment w:val="auto"/>
              <w:rPr>
                <w:rFonts w:hint="eastAsia"/>
                <w:b/>
                <w:bCs/>
              </w:rPr>
            </w:pPr>
            <w:r>
              <w:rPr>
                <w:rFonts w:hint="eastAsia"/>
                <w:b/>
                <w:bCs/>
                <w:lang w:val="en-US" w:eastAsia="zh-CN"/>
              </w:rPr>
              <w:t>（</w:t>
            </w:r>
            <w:r>
              <w:rPr>
                <w:rFonts w:hint="default"/>
                <w:b/>
                <w:bCs/>
                <w:lang w:val="en-US" w:eastAsia="zh-CN"/>
              </w:rPr>
              <w:t>3</w:t>
            </w:r>
            <w:r>
              <w:rPr>
                <w:rFonts w:hint="eastAsia"/>
                <w:b/>
                <w:bCs/>
                <w:lang w:val="en-US" w:eastAsia="zh-CN"/>
              </w:rPr>
              <w:t>）环境风险类型及危害分析</w:t>
            </w:r>
          </w:p>
          <w:p w14:paraId="39490F75">
            <w:pPr>
              <w:widowControl w:val="0"/>
              <w:wordWrap/>
              <w:adjustRightInd/>
              <w:snapToGrid/>
              <w:spacing w:before="0" w:beforeAutospacing="0" w:after="0" w:afterAutospacing="0" w:line="360" w:lineRule="auto"/>
              <w:ind w:left="0" w:right="0" w:firstLine="420" w:firstLineChars="200"/>
              <w:jc w:val="left"/>
              <w:textAlignment w:val="auto"/>
              <w:rPr>
                <w:rFonts w:hint="eastAsia"/>
              </w:rPr>
            </w:pPr>
            <w:r>
              <w:rPr>
                <w:rFonts w:hint="eastAsia"/>
                <w:lang w:val="en-US" w:eastAsia="zh-CN"/>
              </w:rPr>
              <w:t>项目使用原料均储存在原料仓库中，一般情况下，仓库是安全的，但若管理不善，可能由于包装材料破损，或受外因诱导（如热源、火源等）时，会引发物质泄漏、火灾事故。项目环境风险类型主要为泄漏、火灾事故。</w:t>
            </w:r>
          </w:p>
          <w:p w14:paraId="28CB0CD2">
            <w:pPr>
              <w:widowControl/>
              <w:spacing w:line="360" w:lineRule="auto"/>
              <w:ind w:left="482"/>
              <w:jc w:val="center"/>
              <w:rPr>
                <w:rFonts w:hint="default"/>
                <w:b/>
                <w:bCs/>
                <w:lang w:val="en-US" w:eastAsia="zh-CN"/>
              </w:rPr>
            </w:pPr>
            <w:r>
              <w:rPr>
                <w:rFonts w:hint="eastAsia"/>
                <w:b/>
                <w:bCs/>
                <w:lang w:val="en-US" w:eastAsia="zh-CN"/>
              </w:rPr>
              <w:t>表</w:t>
            </w:r>
            <w:r>
              <w:rPr>
                <w:rFonts w:hint="default"/>
                <w:b/>
                <w:bCs/>
                <w:lang w:val="en-US" w:eastAsia="zh-CN"/>
              </w:rPr>
              <w:t>4</w:t>
            </w:r>
            <w:r>
              <w:rPr>
                <w:rFonts w:hint="eastAsia"/>
                <w:b/>
                <w:bCs/>
                <w:lang w:val="en-US" w:eastAsia="zh-CN"/>
              </w:rPr>
              <w:t>-17  项目环境风险类型、转移的可能途径一览表</w:t>
            </w:r>
          </w:p>
          <w:tbl>
            <w:tblPr>
              <w:tblStyle w:val="17"/>
              <w:tblW w:w="78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622"/>
              <w:gridCol w:w="3012"/>
              <w:gridCol w:w="2199"/>
            </w:tblGrid>
            <w:tr w14:paraId="68E26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54" w:type="dxa"/>
                  <w:tcBorders>
                    <w:top w:val="single" w:color="000000" w:sz="12" w:space="0"/>
                    <w:left w:val="nil"/>
                    <w:bottom w:val="single" w:color="000000" w:sz="4" w:space="0"/>
                    <w:right w:val="single" w:color="000000" w:sz="4" w:space="0"/>
                  </w:tcBorders>
                  <w:vAlign w:val="center"/>
                </w:tcPr>
                <w:p w14:paraId="0D9AC472">
                  <w:pPr>
                    <w:widowControl w:val="0"/>
                    <w:wordWrap/>
                    <w:adjustRightInd/>
                    <w:snapToGrid w:val="0"/>
                    <w:spacing w:beforeLines="10" w:beforeAutospacing="0" w:afterLines="10" w:afterAutospacing="0"/>
                    <w:ind w:left="0" w:leftChars="0" w:right="0" w:firstLine="0" w:firstLineChars="0"/>
                    <w:jc w:val="center"/>
                    <w:textAlignment w:val="auto"/>
                    <w:rPr>
                      <w:rFonts w:hint="eastAsia"/>
                      <w:b/>
                      <w:bCs/>
                      <w:sz w:val="18"/>
                      <w:szCs w:val="18"/>
                    </w:rPr>
                  </w:pPr>
                  <w:r>
                    <w:rPr>
                      <w:rFonts w:hint="eastAsia"/>
                      <w:b/>
                      <w:bCs/>
                      <w:sz w:val="18"/>
                      <w:szCs w:val="18"/>
                      <w:lang w:val="en-US" w:eastAsia="zh-CN"/>
                    </w:rPr>
                    <w:t>风险源</w:t>
                  </w:r>
                </w:p>
              </w:tc>
              <w:tc>
                <w:tcPr>
                  <w:tcW w:w="1622" w:type="dxa"/>
                  <w:tcBorders>
                    <w:top w:val="single" w:color="000000" w:sz="12" w:space="0"/>
                    <w:left w:val="single" w:color="000000" w:sz="4" w:space="0"/>
                    <w:bottom w:val="single" w:color="000000" w:sz="4" w:space="0"/>
                    <w:right w:val="single" w:color="000000" w:sz="4" w:space="0"/>
                  </w:tcBorders>
                  <w:vAlign w:val="center"/>
                </w:tcPr>
                <w:p w14:paraId="2C6223AB">
                  <w:pPr>
                    <w:widowControl w:val="0"/>
                    <w:wordWrap/>
                    <w:adjustRightInd/>
                    <w:snapToGrid w:val="0"/>
                    <w:spacing w:beforeLines="10" w:beforeAutospacing="0" w:afterLines="10" w:afterAutospacing="0"/>
                    <w:ind w:left="0" w:leftChars="0" w:right="0" w:firstLine="0" w:firstLineChars="0"/>
                    <w:jc w:val="center"/>
                    <w:textAlignment w:val="auto"/>
                    <w:rPr>
                      <w:rFonts w:hint="eastAsia"/>
                      <w:b/>
                      <w:bCs/>
                      <w:sz w:val="18"/>
                      <w:szCs w:val="18"/>
                    </w:rPr>
                  </w:pPr>
                  <w:r>
                    <w:rPr>
                      <w:rFonts w:hint="eastAsia"/>
                      <w:b/>
                      <w:bCs/>
                      <w:sz w:val="18"/>
                      <w:szCs w:val="18"/>
                      <w:lang w:val="en-US" w:eastAsia="zh-CN"/>
                    </w:rPr>
                    <w:t>环境风险类型</w:t>
                  </w:r>
                </w:p>
              </w:tc>
              <w:tc>
                <w:tcPr>
                  <w:tcW w:w="3012" w:type="dxa"/>
                  <w:tcBorders>
                    <w:top w:val="single" w:color="000000" w:sz="12" w:space="0"/>
                    <w:left w:val="single" w:color="000000" w:sz="4" w:space="0"/>
                    <w:bottom w:val="single" w:color="000000" w:sz="4" w:space="0"/>
                    <w:right w:val="single" w:color="000000" w:sz="4" w:space="0"/>
                  </w:tcBorders>
                  <w:vAlign w:val="center"/>
                </w:tcPr>
                <w:p w14:paraId="333606EA">
                  <w:pPr>
                    <w:widowControl w:val="0"/>
                    <w:wordWrap/>
                    <w:adjustRightInd/>
                    <w:snapToGrid w:val="0"/>
                    <w:spacing w:beforeLines="10" w:beforeAutospacing="0" w:afterLines="10" w:afterAutospacing="0"/>
                    <w:ind w:left="0" w:leftChars="0" w:right="0" w:firstLine="0" w:firstLineChars="0"/>
                    <w:jc w:val="center"/>
                    <w:textAlignment w:val="auto"/>
                    <w:rPr>
                      <w:rFonts w:hint="eastAsia"/>
                      <w:b/>
                      <w:bCs/>
                      <w:sz w:val="18"/>
                      <w:szCs w:val="18"/>
                    </w:rPr>
                  </w:pPr>
                  <w:r>
                    <w:rPr>
                      <w:rFonts w:hint="eastAsia"/>
                      <w:b/>
                      <w:bCs/>
                      <w:sz w:val="18"/>
                      <w:szCs w:val="18"/>
                      <w:lang w:val="en-US" w:eastAsia="zh-CN"/>
                    </w:rPr>
                    <w:t>危险物质向环境转移的可能途径</w:t>
                  </w:r>
                </w:p>
              </w:tc>
              <w:tc>
                <w:tcPr>
                  <w:tcW w:w="2199" w:type="dxa"/>
                  <w:tcBorders>
                    <w:top w:val="single" w:color="000000" w:sz="12" w:space="0"/>
                    <w:left w:val="single" w:color="000000" w:sz="4" w:space="0"/>
                    <w:bottom w:val="single" w:color="000000" w:sz="4" w:space="0"/>
                    <w:right w:val="nil"/>
                  </w:tcBorders>
                  <w:vAlign w:val="center"/>
                </w:tcPr>
                <w:p w14:paraId="02E94D42">
                  <w:pPr>
                    <w:widowControl w:val="0"/>
                    <w:wordWrap/>
                    <w:adjustRightInd/>
                    <w:snapToGrid w:val="0"/>
                    <w:spacing w:beforeLines="10" w:beforeAutospacing="0" w:afterLines="10" w:afterAutospacing="0"/>
                    <w:ind w:left="0" w:leftChars="0" w:right="0" w:firstLine="0" w:firstLineChars="0"/>
                    <w:jc w:val="center"/>
                    <w:textAlignment w:val="auto"/>
                    <w:rPr>
                      <w:rFonts w:hint="eastAsia"/>
                      <w:b/>
                      <w:bCs/>
                      <w:sz w:val="18"/>
                      <w:szCs w:val="18"/>
                    </w:rPr>
                  </w:pPr>
                  <w:r>
                    <w:rPr>
                      <w:rFonts w:hint="eastAsia"/>
                      <w:b/>
                      <w:bCs/>
                      <w:sz w:val="18"/>
                      <w:szCs w:val="18"/>
                      <w:lang w:val="en-US" w:eastAsia="zh-CN"/>
                    </w:rPr>
                    <w:t>对周围环境的影响</w:t>
                  </w:r>
                </w:p>
              </w:tc>
            </w:tr>
            <w:tr w14:paraId="11C3D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54" w:type="dxa"/>
                  <w:vMerge w:val="restart"/>
                  <w:tcBorders>
                    <w:top w:val="single" w:color="000000" w:sz="4" w:space="0"/>
                    <w:left w:val="nil"/>
                    <w:bottom w:val="single" w:color="000000" w:sz="4" w:space="0"/>
                    <w:right w:val="single" w:color="000000" w:sz="4" w:space="0"/>
                  </w:tcBorders>
                  <w:vAlign w:val="center"/>
                </w:tcPr>
                <w:p w14:paraId="11CCBCA6">
                  <w:pPr>
                    <w:widowControl w:val="0"/>
                    <w:wordWrap/>
                    <w:adjustRightInd/>
                    <w:snapToGrid w:val="0"/>
                    <w:spacing w:beforeLines="10" w:beforeAutospacing="0" w:afterAutospacing="0"/>
                    <w:ind w:left="0" w:leftChars="0" w:right="0" w:firstLine="0" w:firstLineChars="0"/>
                    <w:jc w:val="center"/>
                    <w:textAlignment w:val="auto"/>
                    <w:rPr>
                      <w:rFonts w:hint="default"/>
                      <w:sz w:val="18"/>
                      <w:szCs w:val="18"/>
                      <w:lang w:val="en-US"/>
                    </w:rPr>
                  </w:pPr>
                  <w:r>
                    <w:rPr>
                      <w:rFonts w:hint="eastAsia"/>
                      <w:sz w:val="18"/>
                      <w:szCs w:val="18"/>
                      <w:lang w:val="en-US" w:eastAsia="zh-CN"/>
                    </w:rPr>
                    <w:t>原料仓库</w:t>
                  </w:r>
                </w:p>
              </w:tc>
              <w:tc>
                <w:tcPr>
                  <w:tcW w:w="1622" w:type="dxa"/>
                  <w:tcBorders>
                    <w:top w:val="single" w:color="000000" w:sz="4" w:space="0"/>
                    <w:left w:val="single" w:color="000000" w:sz="4" w:space="0"/>
                    <w:bottom w:val="single" w:color="000000" w:sz="4" w:space="0"/>
                    <w:right w:val="single" w:color="000000" w:sz="4" w:space="0"/>
                  </w:tcBorders>
                  <w:vAlign w:val="center"/>
                </w:tcPr>
                <w:p w14:paraId="16598D5B">
                  <w:pPr>
                    <w:widowControl w:val="0"/>
                    <w:wordWrap/>
                    <w:adjustRightInd/>
                    <w:snapToGrid w:val="0"/>
                    <w:spacing w:beforeLines="10" w:beforeAutospacing="0" w:afterAutospacing="0"/>
                    <w:ind w:left="0" w:leftChars="0" w:right="0" w:firstLine="0" w:firstLineChars="0"/>
                    <w:jc w:val="center"/>
                    <w:textAlignment w:val="auto"/>
                    <w:rPr>
                      <w:rFonts w:hint="eastAsia"/>
                      <w:sz w:val="18"/>
                      <w:szCs w:val="18"/>
                    </w:rPr>
                  </w:pPr>
                  <w:r>
                    <w:rPr>
                      <w:rFonts w:hint="eastAsia"/>
                      <w:sz w:val="18"/>
                      <w:szCs w:val="18"/>
                      <w:lang w:val="en-US" w:eastAsia="zh-CN"/>
                    </w:rPr>
                    <w:t>泄漏</w:t>
                  </w:r>
                </w:p>
              </w:tc>
              <w:tc>
                <w:tcPr>
                  <w:tcW w:w="3012" w:type="dxa"/>
                  <w:tcBorders>
                    <w:top w:val="single" w:color="000000" w:sz="4" w:space="0"/>
                    <w:left w:val="single" w:color="000000" w:sz="4" w:space="0"/>
                    <w:bottom w:val="single" w:color="000000" w:sz="4" w:space="0"/>
                    <w:right w:val="single" w:color="000000" w:sz="4" w:space="0"/>
                  </w:tcBorders>
                  <w:vAlign w:val="center"/>
                </w:tcPr>
                <w:p w14:paraId="5061773E">
                  <w:pPr>
                    <w:widowControl w:val="0"/>
                    <w:wordWrap/>
                    <w:adjustRightInd/>
                    <w:snapToGrid w:val="0"/>
                    <w:spacing w:beforeLines="10" w:beforeAutospacing="0" w:afterAutospacing="0"/>
                    <w:ind w:left="0" w:leftChars="0" w:right="0" w:firstLine="0" w:firstLineChars="0"/>
                    <w:jc w:val="center"/>
                    <w:textAlignment w:val="auto"/>
                    <w:rPr>
                      <w:rFonts w:hint="eastAsia"/>
                      <w:sz w:val="18"/>
                      <w:szCs w:val="18"/>
                    </w:rPr>
                  </w:pPr>
                  <w:r>
                    <w:rPr>
                      <w:rFonts w:hint="eastAsia"/>
                      <w:sz w:val="18"/>
                      <w:szCs w:val="18"/>
                      <w:lang w:val="en-US" w:eastAsia="zh-CN"/>
                    </w:rPr>
                    <w:t>大气环境、地表水环境</w:t>
                  </w:r>
                </w:p>
              </w:tc>
              <w:tc>
                <w:tcPr>
                  <w:tcW w:w="2199" w:type="dxa"/>
                  <w:tcBorders>
                    <w:top w:val="single" w:color="000000" w:sz="4" w:space="0"/>
                    <w:left w:val="single" w:color="000000" w:sz="4" w:space="0"/>
                    <w:bottom w:val="single" w:color="000000" w:sz="4" w:space="0"/>
                    <w:right w:val="nil"/>
                  </w:tcBorders>
                  <w:vAlign w:val="center"/>
                </w:tcPr>
                <w:p w14:paraId="42AA94E0">
                  <w:pPr>
                    <w:widowControl w:val="0"/>
                    <w:wordWrap/>
                    <w:adjustRightInd/>
                    <w:snapToGrid w:val="0"/>
                    <w:spacing w:beforeLines="10" w:beforeAutospacing="0" w:afterAutospacing="0"/>
                    <w:ind w:left="0" w:leftChars="0" w:right="0" w:firstLine="0" w:firstLineChars="0"/>
                    <w:jc w:val="center"/>
                    <w:textAlignment w:val="auto"/>
                    <w:rPr>
                      <w:rFonts w:hint="eastAsia"/>
                      <w:sz w:val="18"/>
                      <w:szCs w:val="18"/>
                    </w:rPr>
                  </w:pPr>
                  <w:r>
                    <w:rPr>
                      <w:rFonts w:hint="eastAsia"/>
                      <w:sz w:val="18"/>
                      <w:szCs w:val="18"/>
                      <w:lang w:val="en-US" w:eastAsia="zh-CN"/>
                    </w:rPr>
                    <w:t>厂区范围</w:t>
                  </w:r>
                </w:p>
              </w:tc>
            </w:tr>
            <w:tr w14:paraId="456F5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54" w:type="dxa"/>
                  <w:vMerge w:val="continue"/>
                  <w:tcBorders>
                    <w:top w:val="single" w:color="000000" w:sz="4" w:space="0"/>
                    <w:left w:val="nil"/>
                    <w:bottom w:val="single" w:color="000000" w:sz="12" w:space="0"/>
                    <w:right w:val="single" w:color="000000" w:sz="4" w:space="0"/>
                  </w:tcBorders>
                  <w:vAlign w:val="center"/>
                </w:tcPr>
                <w:p w14:paraId="4A869049">
                  <w:pPr>
                    <w:widowControl w:val="0"/>
                    <w:wordWrap/>
                    <w:adjustRightInd/>
                    <w:ind w:firstLine="0" w:firstLineChars="0"/>
                    <w:jc w:val="center"/>
                    <w:textAlignment w:val="auto"/>
                    <w:rPr>
                      <w:rFonts w:hint="default"/>
                      <w:sz w:val="18"/>
                      <w:szCs w:val="18"/>
                    </w:rPr>
                  </w:pPr>
                </w:p>
              </w:tc>
              <w:tc>
                <w:tcPr>
                  <w:tcW w:w="1622" w:type="dxa"/>
                  <w:tcBorders>
                    <w:top w:val="single" w:color="000000" w:sz="4" w:space="0"/>
                    <w:left w:val="single" w:color="000000" w:sz="4" w:space="0"/>
                    <w:bottom w:val="single" w:color="000000" w:sz="12" w:space="0"/>
                    <w:right w:val="single" w:color="000000" w:sz="4" w:space="0"/>
                  </w:tcBorders>
                  <w:vAlign w:val="center"/>
                </w:tcPr>
                <w:p w14:paraId="38041E84">
                  <w:pPr>
                    <w:widowControl w:val="0"/>
                    <w:wordWrap/>
                    <w:adjustRightInd/>
                    <w:snapToGrid w:val="0"/>
                    <w:spacing w:beforeLines="10" w:beforeAutospacing="0" w:afterAutospacing="0"/>
                    <w:ind w:left="0" w:leftChars="0" w:right="0" w:firstLine="0" w:firstLineChars="0"/>
                    <w:jc w:val="center"/>
                    <w:textAlignment w:val="auto"/>
                    <w:rPr>
                      <w:rFonts w:hint="eastAsia"/>
                      <w:sz w:val="18"/>
                      <w:szCs w:val="18"/>
                    </w:rPr>
                  </w:pPr>
                  <w:r>
                    <w:rPr>
                      <w:rFonts w:hint="eastAsia"/>
                      <w:sz w:val="18"/>
                      <w:szCs w:val="18"/>
                      <w:lang w:val="en-US" w:eastAsia="zh-CN"/>
                    </w:rPr>
                    <w:t>火灾</w:t>
                  </w:r>
                </w:p>
              </w:tc>
              <w:tc>
                <w:tcPr>
                  <w:tcW w:w="3012" w:type="dxa"/>
                  <w:tcBorders>
                    <w:top w:val="single" w:color="000000" w:sz="4" w:space="0"/>
                    <w:left w:val="single" w:color="000000" w:sz="4" w:space="0"/>
                    <w:bottom w:val="single" w:color="000000" w:sz="12" w:space="0"/>
                    <w:right w:val="single" w:color="000000" w:sz="4" w:space="0"/>
                  </w:tcBorders>
                  <w:vAlign w:val="center"/>
                </w:tcPr>
                <w:p w14:paraId="7BA7E867">
                  <w:pPr>
                    <w:widowControl w:val="0"/>
                    <w:wordWrap/>
                    <w:adjustRightInd/>
                    <w:snapToGrid w:val="0"/>
                    <w:spacing w:beforeLines="10" w:beforeAutospacing="0" w:afterAutospacing="0"/>
                    <w:ind w:left="0" w:leftChars="0" w:right="0" w:firstLine="0" w:firstLineChars="0"/>
                    <w:jc w:val="center"/>
                    <w:textAlignment w:val="auto"/>
                    <w:rPr>
                      <w:rFonts w:hint="eastAsia"/>
                      <w:sz w:val="18"/>
                      <w:szCs w:val="18"/>
                    </w:rPr>
                  </w:pPr>
                  <w:r>
                    <w:rPr>
                      <w:rFonts w:hint="eastAsia"/>
                      <w:sz w:val="18"/>
                      <w:szCs w:val="18"/>
                      <w:lang w:val="en-US" w:eastAsia="zh-CN"/>
                    </w:rPr>
                    <w:t>大气环境、地表水环境</w:t>
                  </w:r>
                </w:p>
              </w:tc>
              <w:tc>
                <w:tcPr>
                  <w:tcW w:w="2199" w:type="dxa"/>
                  <w:tcBorders>
                    <w:top w:val="single" w:color="000000" w:sz="4" w:space="0"/>
                    <w:left w:val="single" w:color="000000" w:sz="4" w:space="0"/>
                    <w:bottom w:val="single" w:color="000000" w:sz="12" w:space="0"/>
                    <w:right w:val="nil"/>
                  </w:tcBorders>
                  <w:vAlign w:val="center"/>
                </w:tcPr>
                <w:p w14:paraId="2E036120">
                  <w:pPr>
                    <w:widowControl w:val="0"/>
                    <w:wordWrap/>
                    <w:adjustRightInd/>
                    <w:snapToGrid w:val="0"/>
                    <w:spacing w:beforeLines="10" w:beforeAutospacing="0" w:afterAutospacing="0"/>
                    <w:ind w:left="0" w:leftChars="0" w:right="0" w:firstLine="0" w:firstLineChars="0"/>
                    <w:jc w:val="center"/>
                    <w:textAlignment w:val="auto"/>
                    <w:rPr>
                      <w:rFonts w:hint="eastAsia"/>
                      <w:sz w:val="18"/>
                      <w:szCs w:val="18"/>
                    </w:rPr>
                  </w:pPr>
                  <w:r>
                    <w:rPr>
                      <w:rFonts w:hint="eastAsia"/>
                      <w:sz w:val="18"/>
                      <w:szCs w:val="18"/>
                      <w:lang w:val="en-US" w:eastAsia="zh-CN"/>
                    </w:rPr>
                    <w:t>厂区范围及周边居民区</w:t>
                  </w:r>
                </w:p>
              </w:tc>
            </w:tr>
          </w:tbl>
          <w:p w14:paraId="278187F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b/>
                <w:bCs/>
              </w:rPr>
            </w:pPr>
            <w:r>
              <w:rPr>
                <w:rFonts w:hint="default"/>
                <w:b/>
                <w:bCs/>
              </w:rPr>
              <w:t>①</w:t>
            </w:r>
            <w:r>
              <w:rPr>
                <w:b/>
                <w:bCs/>
              </w:rPr>
              <w:t>火灾事故风险分析</w:t>
            </w:r>
          </w:p>
          <w:p w14:paraId="0B7DFDDD">
            <w:pPr>
              <w:wordWrap/>
              <w:adjustRightInd w:val="0"/>
              <w:snapToGrid w:val="0"/>
              <w:spacing w:line="360" w:lineRule="auto"/>
              <w:ind w:firstLine="420" w:firstLineChars="200"/>
              <w:textAlignment w:val="auto"/>
              <w:rPr>
                <w:color w:val="auto"/>
                <w:szCs w:val="21"/>
              </w:rPr>
            </w:pPr>
            <w:r>
              <w:rPr>
                <w:rFonts w:hint="default"/>
              </w:rPr>
              <w:t>项目使用的危险物质主要</w:t>
            </w:r>
            <w:r>
              <w:rPr>
                <w:rFonts w:hint="eastAsia"/>
                <w:lang w:val="en-US" w:eastAsia="zh-CN"/>
              </w:rPr>
              <w:t>各种有机试剂，大多有机试剂</w:t>
            </w:r>
            <w:r>
              <w:rPr>
                <w:rFonts w:hint="default"/>
              </w:rPr>
              <w:t>遇明火或高温时易发生火灾事故，火灾会带来生产设施的重大破坏和人员伤亡，火灾是在起火后火势逐渐蔓延扩大，随着时间的延续，损失数量迅速增长，损失大约与时间的平方成正比，如火灾时间延长一倍，损失可能增加4倍，同时，在火灾过程中，</w:t>
            </w:r>
            <w:r>
              <w:rPr>
                <w:rFonts w:hint="eastAsia"/>
                <w:lang w:val="en-US" w:eastAsia="zh-CN"/>
              </w:rPr>
              <w:t>化学试剂</w:t>
            </w:r>
            <w:r>
              <w:rPr>
                <w:rFonts w:hint="default"/>
              </w:rPr>
              <w:t>的燃烧会产生有毒有害气体，造成次生污染，从而对周围环境空气造成污染以及人员健康造成伤害。</w:t>
            </w:r>
          </w:p>
          <w:p w14:paraId="7474D3D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hint="default" w:ascii="Times New Roman" w:hAnsi="Times New Roman" w:cs="Times New Roman"/>
                <w:b/>
                <w:bCs/>
              </w:rPr>
            </w:pPr>
            <w:r>
              <w:rPr>
                <w:rFonts w:hint="default" w:ascii="Times New Roman" w:hAnsi="Times New Roman" w:cs="Times New Roman"/>
                <w:b/>
                <w:bCs/>
              </w:rPr>
              <w:t>②伴生/次生污染风险分析</w:t>
            </w:r>
          </w:p>
          <w:p w14:paraId="6F1D7070">
            <w:pPr>
              <w:wordWrap/>
              <w:adjustRightInd w:val="0"/>
              <w:snapToGrid w:val="0"/>
              <w:spacing w:line="360" w:lineRule="auto"/>
              <w:ind w:firstLine="420" w:firstLineChars="200"/>
              <w:textAlignment w:val="auto"/>
              <w:rPr>
                <w:color w:val="auto"/>
                <w:szCs w:val="21"/>
              </w:rPr>
            </w:pPr>
            <w:r>
              <w:rPr>
                <w:color w:val="auto"/>
                <w:szCs w:val="21"/>
              </w:rPr>
              <w:t>在火灾条件下，胶水以碳、氢为主要组成元素，燃烧会产生有毒气体，其有毒成分主要为一氧化碳，在火势猛烈时，这种气体最具危险性。同时也需要考虑其他易燃物遇热燃烧后产生的其他烃类气体、酚类气体等，尤其需要特别考虑阻燃剂燃烧后产生的有毒的卤气、卤化氢、二噁英，这些气体与一氧化碳混合致毒性更大。</w:t>
            </w:r>
          </w:p>
          <w:p w14:paraId="46F0A1FF">
            <w:pPr>
              <w:wordWrap/>
              <w:adjustRightInd w:val="0"/>
              <w:snapToGrid w:val="0"/>
              <w:spacing w:line="360" w:lineRule="auto"/>
              <w:ind w:firstLine="420" w:firstLineChars="200"/>
              <w:textAlignment w:val="auto"/>
              <w:rPr>
                <w:color w:val="auto"/>
                <w:szCs w:val="21"/>
              </w:rPr>
            </w:pPr>
            <w:r>
              <w:rPr>
                <w:color w:val="auto"/>
                <w:szCs w:val="21"/>
              </w:rPr>
              <w:t>当火灾事故发生时，燃烧产生的烟气短时间内会对厂内员工有较大的影响，并随着时间扩散，对项目周边企业和居民产生一定的影响。</w:t>
            </w:r>
          </w:p>
          <w:p w14:paraId="15249C2B">
            <w:pPr>
              <w:wordWrap/>
              <w:adjustRightInd w:val="0"/>
              <w:snapToGrid w:val="0"/>
              <w:spacing w:line="360" w:lineRule="auto"/>
              <w:ind w:firstLine="420" w:firstLineChars="200"/>
              <w:textAlignment w:val="auto"/>
              <w:rPr>
                <w:color w:val="auto"/>
                <w:szCs w:val="21"/>
              </w:rPr>
            </w:pPr>
            <w:r>
              <w:rPr>
                <w:color w:val="auto"/>
                <w:szCs w:val="21"/>
              </w:rPr>
              <w:t>物料燃烧时产生的烟气中含大量的一氧化碳，一氧化碳随空气进入人体后，经肺泡进入血液循环，能与血液中红细胞里的血红蛋白、血液外的肌红蛋白和二价铁的细胞呼吸及酶等形成可逆性结合，高浓度一氧化碳可引起急性中毒，中毒者常出现脉弱，呼吸变慢等反应，最后衰竭致死；慢性一氧化碳中毒会出现头痛、头晕、记忆力降低等神经衰弱症状。燃烧事故发生后，先是对近距离目标影响最大，且危害程度也大，随着时间的推移，逐渐对远处产生影响，但危害程度逐渐减小。</w:t>
            </w:r>
          </w:p>
          <w:p w14:paraId="34637C35">
            <w:pPr>
              <w:wordWrap/>
              <w:adjustRightInd w:val="0"/>
              <w:snapToGrid w:val="0"/>
              <w:spacing w:line="360" w:lineRule="auto"/>
              <w:ind w:firstLine="420" w:firstLineChars="200"/>
              <w:textAlignment w:val="auto"/>
              <w:rPr>
                <w:color w:val="auto"/>
                <w:szCs w:val="21"/>
              </w:rPr>
            </w:pPr>
            <w:r>
              <w:rPr>
                <w:color w:val="auto"/>
                <w:szCs w:val="21"/>
              </w:rPr>
              <w:t>物料燃烧产生的烟气将对项目厂区周边企业及居民产生一定影响。</w:t>
            </w:r>
          </w:p>
          <w:p w14:paraId="24D4D048">
            <w:pPr>
              <w:wordWrap/>
              <w:adjustRightInd w:val="0"/>
              <w:snapToGrid w:val="0"/>
              <w:spacing w:line="360" w:lineRule="auto"/>
              <w:ind w:firstLine="420" w:firstLineChars="200"/>
              <w:textAlignment w:val="auto"/>
              <w:rPr>
                <w:color w:val="auto"/>
                <w:szCs w:val="21"/>
              </w:rPr>
            </w:pPr>
            <w:r>
              <w:rPr>
                <w:color w:val="auto"/>
                <w:szCs w:val="21"/>
              </w:rPr>
              <w:t>其他苯环类、烃类气体、酚类气体也有部分有毒气体，对人体有一定的危害。</w:t>
            </w:r>
          </w:p>
          <w:p w14:paraId="1CC428FE">
            <w:pPr>
              <w:wordWrap/>
              <w:adjustRightInd w:val="0"/>
              <w:snapToGrid w:val="0"/>
              <w:spacing w:line="360" w:lineRule="auto"/>
              <w:ind w:firstLine="420" w:firstLineChars="200"/>
              <w:textAlignment w:val="auto"/>
              <w:rPr>
                <w:color w:val="auto"/>
                <w:szCs w:val="21"/>
              </w:rPr>
            </w:pPr>
            <w:r>
              <w:rPr>
                <w:color w:val="auto"/>
                <w:szCs w:val="21"/>
              </w:rPr>
              <w:t>如果发生爆炸事故，直接后果是近距离人员伤亡和设备受损，并造成大量的气态污染物和烟尘。</w:t>
            </w:r>
          </w:p>
          <w:p w14:paraId="00060866">
            <w:pPr>
              <w:widowControl/>
              <w:numPr>
                <w:ilvl w:val="0"/>
                <w:numId w:val="0"/>
              </w:numPr>
              <w:wordWrap/>
              <w:adjustRightInd w:val="0"/>
              <w:snapToGrid w:val="0"/>
              <w:spacing w:after="0" w:line="360" w:lineRule="auto"/>
              <w:ind w:firstLine="420" w:firstLineChars="200"/>
              <w:jc w:val="both"/>
              <w:textAlignment w:val="auto"/>
              <w:rPr>
                <w:rFonts w:ascii="宋体" w:hAnsi="宋体" w:eastAsia="宋体" w:cs="宋体"/>
                <w:sz w:val="21"/>
                <w:szCs w:val="21"/>
              </w:rPr>
            </w:pPr>
            <w:r>
              <w:rPr>
                <w:rFonts w:ascii="Times New Roman" w:hAnsi="Times New Roman"/>
                <w:color w:val="auto"/>
                <w:sz w:val="21"/>
                <w:szCs w:val="21"/>
                <w:lang w:val="en-US" w:eastAsia="zh-CN"/>
              </w:rPr>
              <w:t>因此，建设单位应该建立完善的环境风险管理措施及风险应急计划</w:t>
            </w:r>
          </w:p>
          <w:p w14:paraId="68F12DA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hint="eastAsia" w:ascii="Times New Roman" w:hAnsi="Times New Roman" w:cs="Times New Roman"/>
                <w:b/>
                <w:bCs/>
                <w:lang w:val="en-US" w:eastAsia="zh-CN"/>
              </w:rPr>
            </w:pPr>
            <w:r>
              <w:rPr>
                <w:rFonts w:hint="default" w:ascii="Times New Roman" w:hAnsi="Times New Roman" w:cs="Times New Roman"/>
                <w:b/>
                <w:bCs/>
                <w:lang w:val="en-US" w:eastAsia="zh-CN"/>
              </w:rPr>
              <w:t>④</w:t>
            </w:r>
            <w:r>
              <w:rPr>
                <w:rFonts w:hint="eastAsia" w:ascii="Times New Roman" w:hAnsi="Times New Roman" w:cs="Times New Roman"/>
                <w:b/>
                <w:bCs/>
                <w:lang w:val="en-US" w:eastAsia="zh-CN"/>
              </w:rPr>
              <w:t>废气事故性排放影响分析</w:t>
            </w:r>
          </w:p>
          <w:p w14:paraId="0D323E51">
            <w:pPr>
              <w:wordWrap/>
              <w:spacing w:line="360" w:lineRule="auto"/>
              <w:textAlignment w:val="auto"/>
              <w:rPr>
                <w:rFonts w:hint="eastAsia"/>
                <w:lang w:val="en-US" w:eastAsia="zh-CN"/>
              </w:rPr>
            </w:pPr>
            <w:r>
              <w:rPr>
                <w:rFonts w:hint="eastAsia"/>
                <w:lang w:val="en-US" w:eastAsia="zh-CN"/>
              </w:rPr>
              <w:t>项目事故性废气排放情况的出现可能是废气处理设施出现故障，导致废气不经处理就直接排入大气，不经处理直接排放的废气可能会对项目周围环境空气和敏感目标噪声一定影响，因此当出现废气处理设备出现故障时必须立刻停止实验。</w:t>
            </w:r>
          </w:p>
          <w:p w14:paraId="719C96E3">
            <w:pPr>
              <w:widowControl/>
              <w:numPr>
                <w:ilvl w:val="0"/>
                <w:numId w:val="0"/>
              </w:numPr>
              <w:wordWrap/>
              <w:adjustRightInd w:val="0"/>
              <w:snapToGrid w:val="0"/>
              <w:spacing w:after="0" w:line="360" w:lineRule="auto"/>
              <w:ind w:firstLine="422" w:firstLineChars="200"/>
              <w:jc w:val="both"/>
              <w:textAlignment w:val="auto"/>
              <w:rPr>
                <w:rFonts w:hint="default" w:ascii="Times New Roman" w:hAnsi="Times New Roman" w:eastAsia="宋体" w:cs="Times New Roman"/>
                <w:b/>
                <w:bCs w:val="0"/>
                <w:color w:val="auto"/>
                <w:szCs w:val="21"/>
                <w:lang w:val="en-US" w:eastAsia="zh-CN"/>
              </w:rPr>
            </w:pPr>
            <w:r>
              <w:rPr>
                <w:rFonts w:hint="eastAsia" w:ascii="Times New Roman" w:hAnsi="Times New Roman" w:cs="Times New Roman"/>
                <w:b/>
                <w:bCs w:val="0"/>
                <w:color w:val="auto"/>
                <w:szCs w:val="21"/>
                <w:lang w:val="en-US" w:eastAsia="zh-CN"/>
              </w:rPr>
              <w:t>（</w:t>
            </w:r>
            <w:r>
              <w:rPr>
                <w:rFonts w:hint="eastAsia" w:cs="Times New Roman"/>
                <w:b/>
                <w:bCs w:val="0"/>
                <w:color w:val="auto"/>
                <w:szCs w:val="21"/>
                <w:lang w:val="en-US" w:eastAsia="zh-CN"/>
              </w:rPr>
              <w:t>4</w:t>
            </w:r>
            <w:r>
              <w:rPr>
                <w:rFonts w:hint="eastAsia" w:ascii="Times New Roman" w:hAnsi="Times New Roman" w:cs="Times New Roman"/>
                <w:b/>
                <w:bCs w:val="0"/>
                <w:color w:val="auto"/>
                <w:szCs w:val="21"/>
                <w:lang w:val="en-US" w:eastAsia="zh-CN"/>
              </w:rPr>
              <w:t>）</w:t>
            </w:r>
            <w:r>
              <w:rPr>
                <w:rFonts w:hint="default" w:ascii="Times New Roman" w:hAnsi="Times New Roman" w:eastAsia="宋体" w:cs="Times New Roman"/>
                <w:b/>
                <w:bCs w:val="0"/>
                <w:color w:val="auto"/>
                <w:szCs w:val="21"/>
                <w:lang w:val="en-US" w:eastAsia="zh-CN"/>
              </w:rPr>
              <w:t>风险防范措施</w:t>
            </w:r>
          </w:p>
          <w:p w14:paraId="789ACE57">
            <w:pPr>
              <w:widowControl/>
              <w:numPr>
                <w:ilvl w:val="0"/>
                <w:numId w:val="0"/>
              </w:numPr>
              <w:wordWrap/>
              <w:adjustRightInd w:val="0"/>
              <w:snapToGrid w:val="0"/>
              <w:spacing w:after="0" w:line="360" w:lineRule="auto"/>
              <w:ind w:firstLine="422" w:firstLineChars="200"/>
              <w:jc w:val="both"/>
              <w:textAlignment w:val="auto"/>
              <w:rPr>
                <w:rFonts w:hint="default" w:ascii="Times New Roman" w:hAnsi="Times New Roman" w:eastAsia="宋体" w:cs="Times New Roman"/>
                <w:b/>
                <w:bCs w:val="0"/>
                <w:color w:val="auto"/>
                <w:szCs w:val="21"/>
                <w:lang w:val="en-US" w:eastAsia="zh-CN"/>
              </w:rPr>
            </w:pPr>
            <w:bookmarkStart w:id="2" w:name="_Toc14166"/>
            <w:bookmarkStart w:id="3" w:name="_Toc29996"/>
            <w:bookmarkStart w:id="4" w:name="_Toc28460"/>
            <w:bookmarkStart w:id="5" w:name="_Toc26353"/>
            <w:bookmarkStart w:id="6" w:name="_Toc16729"/>
            <w:bookmarkStart w:id="7" w:name="_Toc14946"/>
            <w:bookmarkStart w:id="8" w:name="_Toc9011"/>
            <w:r>
              <w:rPr>
                <w:rFonts w:hint="default" w:ascii="Times New Roman" w:hAnsi="Times New Roman" w:eastAsia="宋体" w:cs="Times New Roman"/>
                <w:b/>
                <w:bCs w:val="0"/>
                <w:color w:val="auto"/>
                <w:szCs w:val="21"/>
                <w:lang w:val="en-US" w:eastAsia="zh-CN"/>
              </w:rPr>
              <w:t>①安全组织措施</w:t>
            </w:r>
            <w:bookmarkEnd w:id="2"/>
            <w:bookmarkEnd w:id="3"/>
            <w:bookmarkEnd w:id="4"/>
            <w:bookmarkEnd w:id="5"/>
            <w:bookmarkEnd w:id="6"/>
            <w:bookmarkEnd w:id="7"/>
            <w:bookmarkEnd w:id="8"/>
          </w:p>
          <w:p w14:paraId="2B65FF74">
            <w:pPr>
              <w:widowControl/>
              <w:numPr>
                <w:ilvl w:val="0"/>
                <w:numId w:val="0"/>
              </w:numPr>
              <w:wordWrap/>
              <w:adjustRightInd w:val="0"/>
              <w:snapToGrid w:val="0"/>
              <w:spacing w:after="0" w:line="360" w:lineRule="auto"/>
              <w:ind w:firstLine="420" w:firstLineChars="20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项目安全工作实行各级负责制，贯彻“纵向到底，责任到人，横向到边，职责到位”的原则，各级行政负责人和各职能部门在各自工作范围和安全管理责任区域内，按照“谁主管，谁负责”的原则，对安全生产负责，并向各自上级负责。</w:t>
            </w:r>
          </w:p>
          <w:p w14:paraId="787A7E4C">
            <w:pPr>
              <w:widowControl/>
              <w:numPr>
                <w:ilvl w:val="0"/>
                <w:numId w:val="0"/>
              </w:numPr>
              <w:wordWrap/>
              <w:adjustRightInd w:val="0"/>
              <w:snapToGrid w:val="0"/>
              <w:spacing w:after="0" w:line="360" w:lineRule="auto"/>
              <w:ind w:firstLine="422" w:firstLineChars="200"/>
              <w:jc w:val="both"/>
              <w:textAlignment w:val="auto"/>
              <w:rPr>
                <w:rFonts w:hint="default" w:ascii="Times New Roman" w:hAnsi="Times New Roman" w:eastAsia="宋体" w:cs="Times New Roman"/>
                <w:bCs/>
                <w:color w:val="auto"/>
                <w:szCs w:val="21"/>
                <w:lang w:val="en-US" w:eastAsia="zh-CN"/>
              </w:rPr>
            </w:pPr>
            <w:bookmarkStart w:id="9" w:name="_Toc23882"/>
            <w:bookmarkStart w:id="10" w:name="_Toc14926"/>
            <w:bookmarkStart w:id="11" w:name="_Toc30708"/>
            <w:bookmarkStart w:id="12" w:name="_Toc27084"/>
            <w:bookmarkStart w:id="13" w:name="_Toc26627"/>
            <w:bookmarkStart w:id="14" w:name="_Toc29788"/>
            <w:bookmarkStart w:id="15" w:name="_Toc29482"/>
            <w:r>
              <w:rPr>
                <w:rFonts w:hint="default" w:ascii="Times New Roman" w:hAnsi="Times New Roman" w:eastAsia="宋体" w:cs="Times New Roman"/>
                <w:b/>
                <w:bCs w:val="0"/>
                <w:color w:val="auto"/>
                <w:szCs w:val="21"/>
                <w:lang w:val="en-US" w:eastAsia="zh-CN"/>
              </w:rPr>
              <w:t>②建立健全的安全环境管理制度</w:t>
            </w:r>
            <w:bookmarkEnd w:id="9"/>
            <w:bookmarkEnd w:id="10"/>
            <w:bookmarkEnd w:id="11"/>
            <w:bookmarkEnd w:id="12"/>
            <w:bookmarkEnd w:id="13"/>
            <w:bookmarkEnd w:id="14"/>
            <w:bookmarkEnd w:id="15"/>
          </w:p>
          <w:p w14:paraId="3912F454">
            <w:pPr>
              <w:widowControl/>
              <w:numPr>
                <w:ilvl w:val="0"/>
                <w:numId w:val="0"/>
              </w:numPr>
              <w:wordWrap/>
              <w:adjustRightInd w:val="0"/>
              <w:snapToGrid w:val="0"/>
              <w:spacing w:after="0" w:line="360" w:lineRule="auto"/>
              <w:ind w:firstLine="420" w:firstLineChars="20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在生产、经营等各方面必须严格执行有关的法律、法规。具体如《中华人民共和国消防法》、《建筑设计防火规范》、《仓库防火安全管理规则》等。</w:t>
            </w:r>
          </w:p>
          <w:p w14:paraId="6AF2005D">
            <w:pPr>
              <w:widowControl/>
              <w:numPr>
                <w:ilvl w:val="0"/>
                <w:numId w:val="0"/>
              </w:numPr>
              <w:wordWrap/>
              <w:adjustRightInd w:val="0"/>
              <w:snapToGrid w:val="0"/>
              <w:spacing w:after="0" w:line="360" w:lineRule="auto"/>
              <w:ind w:firstLine="420" w:firstLineChars="20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加强车</w:t>
            </w:r>
            <w:r>
              <w:rPr>
                <w:rFonts w:hint="eastAsia" w:ascii="Times New Roman" w:hAnsi="Times New Roman" w:eastAsia="宋体" w:cs="Times New Roman"/>
                <w:bCs/>
                <w:color w:val="auto"/>
                <w:szCs w:val="21"/>
                <w:lang w:val="en-US" w:eastAsia="zh-CN"/>
              </w:rPr>
              <w:t>间</w:t>
            </w:r>
            <w:r>
              <w:rPr>
                <w:rFonts w:hint="default" w:ascii="Times New Roman" w:hAnsi="Times New Roman" w:eastAsia="宋体" w:cs="Times New Roman"/>
                <w:bCs/>
                <w:color w:val="auto"/>
                <w:szCs w:val="21"/>
                <w:lang w:val="en-US" w:eastAsia="zh-CN"/>
              </w:rPr>
              <w:t>、成品仓库、化学品仓库等的防火环保管理，对公司职工进行安全环保的教育和培训，做到持证上岗，减少人为风险搿故的发生。</w:t>
            </w:r>
          </w:p>
          <w:p w14:paraId="6631FA94">
            <w:pPr>
              <w:widowControl/>
              <w:numPr>
                <w:ilvl w:val="0"/>
                <w:numId w:val="0"/>
              </w:numPr>
              <w:wordWrap/>
              <w:adjustRightInd w:val="0"/>
              <w:snapToGrid w:val="0"/>
              <w:spacing w:after="0" w:line="360" w:lineRule="auto"/>
              <w:ind w:firstLine="422" w:firstLineChars="200"/>
              <w:jc w:val="both"/>
              <w:textAlignment w:val="auto"/>
              <w:rPr>
                <w:rFonts w:hint="default" w:ascii="Times New Roman" w:hAnsi="Times New Roman" w:eastAsia="宋体" w:cs="Times New Roman"/>
                <w:bCs/>
                <w:color w:val="auto"/>
                <w:szCs w:val="21"/>
                <w:lang w:val="en-US" w:eastAsia="zh-CN"/>
              </w:rPr>
            </w:pPr>
            <w:bookmarkStart w:id="16" w:name="_Toc8770"/>
            <w:bookmarkStart w:id="17" w:name="_Toc30513"/>
            <w:bookmarkStart w:id="18" w:name="_Toc14948"/>
            <w:bookmarkStart w:id="19" w:name="_Toc26810"/>
            <w:bookmarkStart w:id="20" w:name="_Toc20166"/>
            <w:bookmarkStart w:id="21" w:name="_Toc29826"/>
            <w:bookmarkStart w:id="22" w:name="_Toc14888"/>
            <w:r>
              <w:rPr>
                <w:rFonts w:hint="default" w:ascii="Times New Roman" w:hAnsi="Times New Roman" w:eastAsia="宋体" w:cs="Times New Roman"/>
                <w:b/>
                <w:bCs w:val="0"/>
                <w:color w:val="auto"/>
                <w:szCs w:val="21"/>
                <w:lang w:val="en-US" w:eastAsia="zh-CN"/>
              </w:rPr>
              <w:t>③化学品泄漏事故防范措施</w:t>
            </w:r>
            <w:bookmarkEnd w:id="16"/>
            <w:bookmarkEnd w:id="17"/>
            <w:bookmarkEnd w:id="18"/>
            <w:bookmarkEnd w:id="19"/>
            <w:bookmarkEnd w:id="20"/>
            <w:bookmarkEnd w:id="21"/>
            <w:bookmarkEnd w:id="22"/>
          </w:p>
          <w:p w14:paraId="156111BA">
            <w:pPr>
              <w:widowControl/>
              <w:numPr>
                <w:ilvl w:val="0"/>
                <w:numId w:val="0"/>
              </w:numPr>
              <w:wordWrap/>
              <w:adjustRightInd w:val="0"/>
              <w:snapToGrid w:val="0"/>
              <w:spacing w:after="0" w:line="360" w:lineRule="auto"/>
              <w:ind w:firstLine="420" w:firstLineChars="20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为防止危险物质发生泄漏而污染周围环境，加强控制和管理是杜绝、减轻和避免环境风险的最有效办法。项目危险物质泄漏主要发生在运输与储存环节，对于其运输与储存风险的防范，应在运输管理、运输设备、储存设备及其维护方面加强控制</w:t>
            </w:r>
            <w:r>
              <w:rPr>
                <w:rFonts w:hint="eastAsia" w:ascii="Times New Roman" w:hAnsi="Times New Roman" w:eastAsia="宋体" w:cs="Times New Roman"/>
                <w:bCs/>
                <w:color w:val="auto"/>
                <w:szCs w:val="21"/>
                <w:lang w:val="en-US" w:eastAsia="zh-CN"/>
              </w:rPr>
              <w:t>，危废间一定要牢固不易泄漏</w:t>
            </w:r>
            <w:r>
              <w:rPr>
                <w:rFonts w:hint="default" w:ascii="Times New Roman" w:hAnsi="Times New Roman" w:eastAsia="宋体" w:cs="Times New Roman"/>
                <w:bCs/>
                <w:color w:val="auto"/>
                <w:szCs w:val="21"/>
                <w:lang w:val="en-US" w:eastAsia="zh-CN"/>
              </w:rPr>
              <w:t>。</w:t>
            </w:r>
          </w:p>
          <w:p w14:paraId="5D950F41">
            <w:pPr>
              <w:widowControl/>
              <w:numPr>
                <w:ilvl w:val="0"/>
                <w:numId w:val="0"/>
              </w:numPr>
              <w:wordWrap/>
              <w:adjustRightInd w:val="0"/>
              <w:snapToGrid w:val="0"/>
              <w:spacing w:after="0" w:line="360" w:lineRule="auto"/>
              <w:ind w:firstLine="422" w:firstLineChars="200"/>
              <w:jc w:val="both"/>
              <w:textAlignment w:val="auto"/>
              <w:rPr>
                <w:rFonts w:hint="default" w:ascii="Times New Roman" w:hAnsi="Times New Roman" w:eastAsia="宋体" w:cs="Times New Roman"/>
                <w:bCs/>
                <w:color w:val="auto"/>
                <w:szCs w:val="21"/>
                <w:lang w:val="en-US" w:eastAsia="zh-CN"/>
              </w:rPr>
            </w:pPr>
            <w:bookmarkStart w:id="23" w:name="_Toc28336"/>
            <w:bookmarkStart w:id="24" w:name="_Toc28412"/>
            <w:bookmarkStart w:id="25" w:name="_Toc23334"/>
            <w:bookmarkStart w:id="26" w:name="_Toc14798"/>
            <w:bookmarkStart w:id="27" w:name="_Toc14674"/>
            <w:bookmarkStart w:id="28" w:name="_Toc8498"/>
            <w:bookmarkStart w:id="29" w:name="_Toc31658"/>
            <w:r>
              <w:rPr>
                <w:rFonts w:hint="default" w:ascii="Times New Roman" w:hAnsi="Times New Roman" w:eastAsia="宋体" w:cs="Times New Roman"/>
                <w:b/>
                <w:bCs w:val="0"/>
                <w:color w:val="auto"/>
                <w:szCs w:val="21"/>
                <w:lang w:val="en-US" w:eastAsia="zh-CN"/>
              </w:rPr>
              <w:t>④火灾事故防范措施</w:t>
            </w:r>
            <w:bookmarkEnd w:id="23"/>
            <w:bookmarkEnd w:id="24"/>
            <w:bookmarkEnd w:id="25"/>
            <w:bookmarkEnd w:id="26"/>
            <w:bookmarkEnd w:id="27"/>
            <w:bookmarkEnd w:id="28"/>
            <w:bookmarkEnd w:id="29"/>
          </w:p>
          <w:p w14:paraId="6C3CDDED">
            <w:pPr>
              <w:wordWrap/>
              <w:spacing w:after="0" w:line="360" w:lineRule="auto"/>
              <w:ind w:firstLine="42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为了防范和减缓火灾风险，企业采取了以下措施：</w:t>
            </w:r>
          </w:p>
          <w:p w14:paraId="40C9688B">
            <w:pPr>
              <w:wordWrap/>
              <w:spacing w:line="360" w:lineRule="auto"/>
              <w:ind w:firstLine="420" w:firstLineChars="200"/>
              <w:textAlignment w:val="auto"/>
              <w:rPr>
                <w:rFonts w:hint="default"/>
                <w:lang w:val="en-US" w:eastAsia="zh-CN"/>
              </w:rPr>
            </w:pPr>
            <w:r>
              <w:rPr>
                <w:rFonts w:hint="default"/>
                <w:lang w:val="en-US" w:eastAsia="zh-CN"/>
              </w:rPr>
              <w:t>在原辅材料、生产区张贴禁火警示标志。严格区域动火作业审批程序。</w:t>
            </w:r>
          </w:p>
          <w:p w14:paraId="73D8A4B4">
            <w:pPr>
              <w:wordWrap/>
              <w:spacing w:line="360" w:lineRule="auto"/>
              <w:ind w:firstLine="420" w:firstLineChars="200"/>
              <w:textAlignment w:val="auto"/>
              <w:rPr>
                <w:rFonts w:hint="default"/>
              </w:rPr>
            </w:pPr>
            <w:r>
              <w:rPr>
                <w:rFonts w:hint="default"/>
              </w:rPr>
              <w:t>加强对建筑电气的漏电保护，在建筑物电源进线处设计安装带漏电保护功能的熔断器。</w:t>
            </w:r>
          </w:p>
          <w:p w14:paraId="3FFB220C">
            <w:pPr>
              <w:wordWrap/>
              <w:spacing w:line="360" w:lineRule="auto"/>
              <w:ind w:firstLine="420" w:firstLineChars="200"/>
              <w:textAlignment w:val="auto"/>
              <w:rPr>
                <w:rFonts w:hint="default"/>
              </w:rPr>
            </w:pPr>
            <w:r>
              <w:rPr>
                <w:rFonts w:hint="default"/>
              </w:rPr>
              <w:t>加强用电管理，定期对设备进行安全检测，检测内容、时间、人员应有记录保存，对使用时间长的电器设备，要及时更换或维修。</w:t>
            </w:r>
          </w:p>
          <w:p w14:paraId="3177A7DE">
            <w:pPr>
              <w:wordWrap/>
              <w:spacing w:line="360" w:lineRule="auto"/>
              <w:ind w:firstLine="420" w:firstLineChars="200"/>
              <w:textAlignment w:val="auto"/>
              <w:rPr>
                <w:rFonts w:hint="default"/>
              </w:rPr>
            </w:pPr>
            <w:r>
              <w:rPr>
                <w:rFonts w:hint="default"/>
              </w:rPr>
              <w:t>加强工作人员的安全教育，加大管理力度，及时清洁、检修设备；定期对电气线路进行检测，发现隐患及时消除。</w:t>
            </w:r>
          </w:p>
          <w:p w14:paraId="5544F2D3">
            <w:pPr>
              <w:pStyle w:val="6"/>
              <w:wordWrap/>
              <w:spacing w:line="360" w:lineRule="auto"/>
              <w:textAlignment w:val="auto"/>
              <w:rPr>
                <w:rFonts w:hint="eastAsia" w:eastAsia="宋体"/>
                <w:lang w:val="en-US" w:eastAsia="zh-CN"/>
              </w:rPr>
            </w:pPr>
            <w:r>
              <w:rPr>
                <w:rFonts w:hint="default" w:ascii="Times New Roman" w:hAnsi="Times New Roman" w:cs="Times New Roman"/>
                <w:color w:val="auto"/>
                <w:szCs w:val="24"/>
              </w:rPr>
              <w:t>经常检查确保设施正常运转，在现场布置小型灭火器</w:t>
            </w:r>
            <w:r>
              <w:rPr>
                <w:rFonts w:hint="eastAsia" w:cs="Times New Roman"/>
                <w:color w:val="auto"/>
                <w:szCs w:val="24"/>
                <w:lang w:val="en-US" w:eastAsia="zh-CN"/>
              </w:rPr>
              <w:t>材。</w:t>
            </w:r>
          </w:p>
        </w:tc>
      </w:tr>
    </w:tbl>
    <w:p w14:paraId="4FDC8434">
      <w:pPr>
        <w:pStyle w:val="6"/>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779A4CC">
      <w:pPr>
        <w:jc w:val="center"/>
        <w:outlineLvl w:val="0"/>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五.环境保护措施监督检查清单</w:t>
      </w:r>
    </w:p>
    <w:tbl>
      <w:tblPr>
        <w:tblStyle w:val="17"/>
        <w:tblW w:w="88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543"/>
        <w:gridCol w:w="1896"/>
        <w:gridCol w:w="1392"/>
        <w:gridCol w:w="2690"/>
      </w:tblGrid>
      <w:tr w14:paraId="1CE33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63" w:type="dxa"/>
            <w:tcBorders>
              <w:tl2br w:val="single" w:color="auto" w:sz="4" w:space="0"/>
            </w:tcBorders>
            <w:vAlign w:val="center"/>
          </w:tcPr>
          <w:p w14:paraId="063B7E10">
            <w:pPr>
              <w:pStyle w:val="2"/>
              <w:jc w:val="right"/>
              <w:rPr>
                <w:rFonts w:hint="default" w:ascii="Times New Roman" w:hAnsi="Times New Roman" w:eastAsia="宋体" w:cs="Times New Roman"/>
                <w:b/>
                <w:bCs/>
                <w:sz w:val="18"/>
                <w:szCs w:val="18"/>
                <w:lang w:val="en-US" w:eastAsia="zh-CN"/>
              </w:rPr>
            </w:pPr>
            <w:r>
              <w:rPr>
                <w:rFonts w:hint="default" w:ascii="Times New Roman" w:hAnsi="Times New Roman" w:cs="Times New Roman"/>
                <w:b/>
                <w:bCs/>
                <w:sz w:val="18"/>
                <w:szCs w:val="18"/>
                <w:lang w:val="en-US" w:eastAsia="zh-CN"/>
              </w:rPr>
              <w:t>内容</w:t>
            </w:r>
          </w:p>
          <w:p w14:paraId="3E556C98">
            <w:pPr>
              <w:pStyle w:val="2"/>
              <w:jc w:val="left"/>
              <w:rPr>
                <w:rFonts w:hint="default" w:ascii="Times New Roman" w:hAnsi="Times New Roman" w:cs="Times New Roman"/>
                <w:b/>
                <w:bCs/>
                <w:sz w:val="18"/>
                <w:szCs w:val="18"/>
              </w:rPr>
            </w:pPr>
            <w:r>
              <w:rPr>
                <w:rFonts w:hint="default" w:ascii="Times New Roman" w:hAnsi="Times New Roman" w:cs="Times New Roman"/>
                <w:b/>
                <w:bCs/>
                <w:sz w:val="18"/>
                <w:szCs w:val="18"/>
              </w:rPr>
              <w:t>要素</w:t>
            </w:r>
          </w:p>
        </w:tc>
        <w:tc>
          <w:tcPr>
            <w:tcW w:w="1543" w:type="dxa"/>
            <w:vAlign w:val="center"/>
          </w:tcPr>
          <w:p w14:paraId="527680CC">
            <w:pPr>
              <w:pStyle w:val="2"/>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排放口(编号、</w:t>
            </w:r>
          </w:p>
          <w:p w14:paraId="23573706">
            <w:pPr>
              <w:pStyle w:val="2"/>
              <w:jc w:val="center"/>
              <w:rPr>
                <w:rFonts w:hint="default" w:ascii="Times New Roman" w:hAnsi="Times New Roman" w:cs="Times New Roman"/>
                <w:b/>
                <w:bCs/>
                <w:sz w:val="18"/>
                <w:szCs w:val="18"/>
              </w:rPr>
            </w:pPr>
            <w:r>
              <w:rPr>
                <w:rFonts w:hint="default" w:ascii="Times New Roman" w:hAnsi="Times New Roman" w:cs="Times New Roman"/>
                <w:b/>
                <w:bCs/>
                <w:sz w:val="18"/>
                <w:szCs w:val="18"/>
              </w:rPr>
              <w:t>名称)/污染源</w:t>
            </w:r>
          </w:p>
        </w:tc>
        <w:tc>
          <w:tcPr>
            <w:tcW w:w="1896" w:type="dxa"/>
            <w:vAlign w:val="center"/>
          </w:tcPr>
          <w:p w14:paraId="6E572368">
            <w:pPr>
              <w:pStyle w:val="2"/>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污染物项目</w:t>
            </w:r>
          </w:p>
        </w:tc>
        <w:tc>
          <w:tcPr>
            <w:tcW w:w="1392" w:type="dxa"/>
            <w:vAlign w:val="center"/>
          </w:tcPr>
          <w:p w14:paraId="4C6E33DC">
            <w:pPr>
              <w:pStyle w:val="2"/>
              <w:jc w:val="center"/>
              <w:rPr>
                <w:rFonts w:hint="default" w:ascii="Times New Roman" w:hAnsi="Times New Roman" w:cs="Times New Roman"/>
                <w:b/>
                <w:bCs/>
                <w:sz w:val="18"/>
                <w:szCs w:val="18"/>
              </w:rPr>
            </w:pPr>
            <w:r>
              <w:rPr>
                <w:rFonts w:hint="default" w:ascii="Times New Roman" w:hAnsi="Times New Roman" w:cs="Times New Roman"/>
                <w:b/>
                <w:bCs/>
                <w:sz w:val="18"/>
                <w:szCs w:val="18"/>
              </w:rPr>
              <w:t>环境保护措施</w:t>
            </w:r>
          </w:p>
        </w:tc>
        <w:tc>
          <w:tcPr>
            <w:tcW w:w="2690" w:type="dxa"/>
            <w:vAlign w:val="center"/>
          </w:tcPr>
          <w:p w14:paraId="752F389E">
            <w:pPr>
              <w:pStyle w:val="2"/>
              <w:jc w:val="center"/>
              <w:rPr>
                <w:rFonts w:hint="default" w:ascii="Times New Roman" w:hAnsi="Times New Roman" w:cs="Times New Roman"/>
                <w:b/>
                <w:bCs/>
                <w:sz w:val="18"/>
                <w:szCs w:val="18"/>
              </w:rPr>
            </w:pPr>
            <w:r>
              <w:rPr>
                <w:rFonts w:hint="default" w:ascii="Times New Roman" w:hAnsi="Times New Roman" w:cs="Times New Roman"/>
                <w:b/>
                <w:bCs/>
                <w:sz w:val="18"/>
                <w:szCs w:val="18"/>
              </w:rPr>
              <w:t>执行标准</w:t>
            </w:r>
          </w:p>
        </w:tc>
      </w:tr>
      <w:tr w14:paraId="74C89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restart"/>
            <w:vAlign w:val="center"/>
          </w:tcPr>
          <w:p w14:paraId="1085012B">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大气环境</w:t>
            </w:r>
          </w:p>
        </w:tc>
        <w:tc>
          <w:tcPr>
            <w:tcW w:w="1543" w:type="dxa"/>
            <w:vAlign w:val="center"/>
          </w:tcPr>
          <w:p w14:paraId="6ACC3EAF">
            <w:pPr>
              <w:pStyle w:val="2"/>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DA001</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上漆</w:t>
            </w:r>
            <w:r>
              <w:rPr>
                <w:rFonts w:hint="default" w:ascii="Times New Roman" w:hAnsi="Times New Roman" w:cs="Times New Roman"/>
                <w:sz w:val="18"/>
                <w:szCs w:val="18"/>
              </w:rPr>
              <w:t>）</w:t>
            </w:r>
          </w:p>
        </w:tc>
        <w:tc>
          <w:tcPr>
            <w:tcW w:w="1896" w:type="dxa"/>
            <w:vAlign w:val="center"/>
          </w:tcPr>
          <w:p w14:paraId="744A6BFA">
            <w:pPr>
              <w:pStyle w:val="2"/>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颗粒物</w:t>
            </w:r>
          </w:p>
        </w:tc>
        <w:tc>
          <w:tcPr>
            <w:tcW w:w="1392" w:type="dxa"/>
            <w:vMerge w:val="restart"/>
            <w:vAlign w:val="center"/>
          </w:tcPr>
          <w:p w14:paraId="558DC078">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车间密闭+水帘+除尘柜+喷淋塔+</w:t>
            </w:r>
            <w:r>
              <w:rPr>
                <w:rFonts w:hint="eastAsia" w:ascii="Times New Roman" w:hAnsi="Times New Roman" w:cs="Times New Roman"/>
                <w:sz w:val="18"/>
                <w:szCs w:val="18"/>
                <w:lang w:val="en-US" w:eastAsia="zh-CN"/>
              </w:rPr>
              <w:t>活性炭吸附</w:t>
            </w:r>
            <w:r>
              <w:rPr>
                <w:rFonts w:hint="default" w:ascii="Times New Roman" w:hAnsi="Times New Roman" w:cs="Times New Roman"/>
                <w:sz w:val="18"/>
                <w:szCs w:val="18"/>
              </w:rPr>
              <w:t>+</w:t>
            </w:r>
            <w:r>
              <w:rPr>
                <w:rFonts w:hint="eastAsia" w:ascii="Times New Roman" w:hAnsi="Times New Roman" w:cs="Times New Roman"/>
                <w:sz w:val="18"/>
                <w:szCs w:val="18"/>
                <w:lang w:val="en-US" w:eastAsia="zh-CN"/>
              </w:rPr>
              <w:t>15m高</w:t>
            </w:r>
            <w:r>
              <w:rPr>
                <w:rFonts w:hint="default" w:ascii="Times New Roman" w:hAnsi="Times New Roman" w:cs="Times New Roman"/>
                <w:sz w:val="18"/>
                <w:szCs w:val="18"/>
              </w:rPr>
              <w:t>排气筒</w:t>
            </w:r>
          </w:p>
        </w:tc>
        <w:tc>
          <w:tcPr>
            <w:tcW w:w="2690" w:type="dxa"/>
            <w:vAlign w:val="center"/>
          </w:tcPr>
          <w:p w14:paraId="6CE1020F">
            <w:pPr>
              <w:pStyle w:val="2"/>
              <w:jc w:val="both"/>
              <w:rPr>
                <w:rFonts w:hint="default" w:ascii="Times New Roman" w:hAnsi="Times New Roman" w:cs="Times New Roman"/>
                <w:sz w:val="18"/>
                <w:szCs w:val="18"/>
                <w:lang w:val="en-US"/>
              </w:rPr>
            </w:pPr>
            <w:r>
              <w:rPr>
                <w:rFonts w:hint="default" w:ascii="Times New Roman" w:hAnsi="Times New Roman" w:cs="Times New Roman"/>
                <w:sz w:val="18"/>
                <w:szCs w:val="18"/>
              </w:rPr>
              <w:t>GB</w:t>
            </w:r>
            <w:r>
              <w:rPr>
                <w:rFonts w:hint="default" w:ascii="Times New Roman" w:hAnsi="Times New Roman" w:cs="Times New Roman"/>
                <w:sz w:val="18"/>
                <w:szCs w:val="18"/>
                <w:lang w:val="en-US" w:eastAsia="zh-CN"/>
              </w:rPr>
              <w:t>16297-1996</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大气污染物综合排放标准</w:t>
            </w:r>
            <w:r>
              <w:rPr>
                <w:rFonts w:hint="default" w:ascii="Times New Roman" w:hAnsi="Times New Roman" w:cs="Times New Roman"/>
                <w:sz w:val="18"/>
                <w:szCs w:val="18"/>
              </w:rPr>
              <w:t>》中表</w:t>
            </w:r>
            <w:r>
              <w:rPr>
                <w:rFonts w:hint="default" w:ascii="Times New Roman" w:hAnsi="Times New Roman" w:cs="Times New Roman"/>
                <w:sz w:val="18"/>
                <w:szCs w:val="18"/>
                <w:lang w:val="en-US" w:eastAsia="zh-CN"/>
              </w:rPr>
              <w:t>2相关标准</w:t>
            </w:r>
          </w:p>
        </w:tc>
      </w:tr>
      <w:tr w14:paraId="6F9DA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continue"/>
            <w:vAlign w:val="center"/>
          </w:tcPr>
          <w:p w14:paraId="3852EB2E">
            <w:pPr>
              <w:pStyle w:val="2"/>
              <w:jc w:val="center"/>
              <w:rPr>
                <w:rFonts w:hint="default" w:ascii="Times New Roman" w:hAnsi="Times New Roman" w:cs="Times New Roman"/>
                <w:sz w:val="18"/>
                <w:szCs w:val="18"/>
              </w:rPr>
            </w:pPr>
          </w:p>
        </w:tc>
        <w:tc>
          <w:tcPr>
            <w:tcW w:w="1543" w:type="dxa"/>
            <w:vAlign w:val="center"/>
          </w:tcPr>
          <w:p w14:paraId="4A522BE2">
            <w:pPr>
              <w:pStyle w:val="2"/>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DA001</w:t>
            </w:r>
          </w:p>
          <w:p w14:paraId="3375B98C">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上漆、晾干</w:t>
            </w:r>
            <w:r>
              <w:rPr>
                <w:rFonts w:hint="default" w:ascii="Times New Roman" w:hAnsi="Times New Roman" w:cs="Times New Roman"/>
                <w:sz w:val="18"/>
                <w:szCs w:val="18"/>
              </w:rPr>
              <w:t>）</w:t>
            </w:r>
          </w:p>
        </w:tc>
        <w:tc>
          <w:tcPr>
            <w:tcW w:w="1896" w:type="dxa"/>
            <w:vAlign w:val="center"/>
          </w:tcPr>
          <w:p w14:paraId="518793A4">
            <w:pPr>
              <w:pStyle w:val="2"/>
              <w:jc w:val="both"/>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非甲烷总烃、</w:t>
            </w:r>
            <w:r>
              <w:rPr>
                <w:rFonts w:hint="default" w:ascii="Times New Roman" w:hAnsi="Times New Roman" w:cs="Times New Roman"/>
                <w:sz w:val="18"/>
                <w:szCs w:val="18"/>
                <w:lang w:val="en-US" w:eastAsia="zh-CN"/>
              </w:rPr>
              <w:t>甲苯、二甲苯、乙酸乙酯和乙酸丁酯合计</w:t>
            </w:r>
          </w:p>
        </w:tc>
        <w:tc>
          <w:tcPr>
            <w:tcW w:w="1392" w:type="dxa"/>
            <w:vMerge w:val="continue"/>
            <w:vAlign w:val="center"/>
          </w:tcPr>
          <w:p w14:paraId="3EEA2BDF">
            <w:pPr>
              <w:pStyle w:val="2"/>
              <w:jc w:val="center"/>
              <w:rPr>
                <w:rFonts w:hint="default" w:ascii="Times New Roman" w:hAnsi="Times New Roman" w:cs="Times New Roman"/>
                <w:sz w:val="18"/>
                <w:szCs w:val="18"/>
              </w:rPr>
            </w:pPr>
          </w:p>
        </w:tc>
        <w:tc>
          <w:tcPr>
            <w:tcW w:w="2690" w:type="dxa"/>
            <w:vAlign w:val="center"/>
          </w:tcPr>
          <w:p w14:paraId="6B978A67">
            <w:pPr>
              <w:pStyle w:val="2"/>
              <w:jc w:val="both"/>
              <w:rPr>
                <w:rFonts w:hint="default" w:ascii="Times New Roman" w:hAnsi="Times New Roman" w:cs="Times New Roman"/>
                <w:sz w:val="18"/>
                <w:szCs w:val="18"/>
              </w:rPr>
            </w:pPr>
            <w:r>
              <w:rPr>
                <w:rFonts w:hint="default" w:ascii="Times New Roman" w:hAnsi="Times New Roman" w:cs="Times New Roman"/>
                <w:sz w:val="18"/>
                <w:szCs w:val="18"/>
              </w:rPr>
              <w:t>DB35/1783-2018《工业涂装工序挥发性有机物排放标准》中表1家具制造</w:t>
            </w:r>
          </w:p>
        </w:tc>
      </w:tr>
      <w:tr w14:paraId="027EB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continue"/>
            <w:vAlign w:val="center"/>
          </w:tcPr>
          <w:p w14:paraId="09DB1C06">
            <w:pPr>
              <w:pStyle w:val="2"/>
              <w:jc w:val="center"/>
              <w:rPr>
                <w:rFonts w:hint="default" w:ascii="Times New Roman" w:hAnsi="Times New Roman" w:cs="Times New Roman"/>
                <w:sz w:val="18"/>
                <w:szCs w:val="18"/>
              </w:rPr>
            </w:pPr>
          </w:p>
        </w:tc>
        <w:tc>
          <w:tcPr>
            <w:tcW w:w="1543" w:type="dxa"/>
            <w:vMerge w:val="restart"/>
            <w:vAlign w:val="center"/>
          </w:tcPr>
          <w:p w14:paraId="3612A5BC">
            <w:pPr>
              <w:pStyle w:val="2"/>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厂区内无组织</w:t>
            </w:r>
          </w:p>
        </w:tc>
        <w:tc>
          <w:tcPr>
            <w:tcW w:w="1896" w:type="dxa"/>
            <w:vAlign w:val="center"/>
          </w:tcPr>
          <w:p w14:paraId="4571480D">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非甲烷总烃</w:t>
            </w:r>
          </w:p>
          <w:p w14:paraId="72E0BFB7">
            <w:pPr>
              <w:pStyle w:val="31"/>
              <w:spacing w:line="240" w:lineRule="auto"/>
              <w:ind w:left="0" w:leftChars="0" w:right="0" w:firstLine="0" w:firstLineChars="0"/>
              <w:jc w:val="center"/>
              <w:rPr>
                <w:rFonts w:hint="default" w:ascii="Times New Roman" w:hAnsi="Times New Roman" w:cs="Times New Roman"/>
                <w:sz w:val="18"/>
                <w:szCs w:val="18"/>
                <w:lang w:val="en-US" w:eastAsia="zh-CN"/>
              </w:rPr>
            </w:pPr>
            <w:r>
              <w:rPr>
                <w:rFonts w:hint="default" w:ascii="Times New Roman" w:hAnsi="Times New Roman" w:eastAsia="宋体" w:cs="Times New Roman"/>
                <w:sz w:val="18"/>
                <w:szCs w:val="18"/>
              </w:rPr>
              <w:t>（任意一次浓度值）</w:t>
            </w:r>
          </w:p>
        </w:tc>
        <w:tc>
          <w:tcPr>
            <w:tcW w:w="1392" w:type="dxa"/>
            <w:vAlign w:val="center"/>
          </w:tcPr>
          <w:p w14:paraId="7C40248B">
            <w:pPr>
              <w:pStyle w:val="2"/>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提高收集效率</w:t>
            </w:r>
          </w:p>
        </w:tc>
        <w:tc>
          <w:tcPr>
            <w:tcW w:w="2690" w:type="dxa"/>
            <w:vAlign w:val="center"/>
          </w:tcPr>
          <w:p w14:paraId="7964F481">
            <w:pPr>
              <w:pStyle w:val="2"/>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rPr>
              <w:t>GB37822-2019</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《挥发性有机物无组织排放控制标准》附录A中表A.1中的标准</w:t>
            </w:r>
          </w:p>
        </w:tc>
      </w:tr>
      <w:tr w14:paraId="21A81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continue"/>
            <w:vAlign w:val="center"/>
          </w:tcPr>
          <w:p w14:paraId="51237C89">
            <w:pPr>
              <w:pStyle w:val="2"/>
              <w:jc w:val="center"/>
              <w:rPr>
                <w:rFonts w:hint="default" w:ascii="Times New Roman" w:hAnsi="Times New Roman" w:cs="Times New Roman"/>
                <w:sz w:val="18"/>
                <w:szCs w:val="18"/>
              </w:rPr>
            </w:pPr>
          </w:p>
        </w:tc>
        <w:tc>
          <w:tcPr>
            <w:tcW w:w="1543" w:type="dxa"/>
            <w:vMerge w:val="continue"/>
            <w:vAlign w:val="center"/>
          </w:tcPr>
          <w:p w14:paraId="253B83A6">
            <w:pPr>
              <w:pStyle w:val="2"/>
              <w:jc w:val="center"/>
              <w:rPr>
                <w:rFonts w:hint="default" w:ascii="Times New Roman" w:hAnsi="Times New Roman" w:cs="Times New Roman"/>
                <w:sz w:val="18"/>
                <w:szCs w:val="18"/>
                <w:lang w:eastAsia="zh-CN"/>
              </w:rPr>
            </w:pPr>
          </w:p>
        </w:tc>
        <w:tc>
          <w:tcPr>
            <w:tcW w:w="1896" w:type="dxa"/>
            <w:vAlign w:val="center"/>
          </w:tcPr>
          <w:p w14:paraId="5463C35F">
            <w:pPr>
              <w:pStyle w:val="31"/>
              <w:spacing w:line="240" w:lineRule="auto"/>
              <w:ind w:left="0" w:leftChars="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非甲烷总烃</w:t>
            </w:r>
          </w:p>
          <w:p w14:paraId="2DD9E454">
            <w:pPr>
              <w:pStyle w:val="31"/>
              <w:spacing w:line="240" w:lineRule="auto"/>
              <w:ind w:left="0" w:leftChars="0" w:right="0" w:firstLine="0" w:firstLineChars="0"/>
              <w:jc w:val="center"/>
              <w:rPr>
                <w:rFonts w:hint="default" w:ascii="Times New Roman" w:hAnsi="Times New Roman" w:cs="Times New Roman"/>
                <w:sz w:val="18"/>
                <w:szCs w:val="18"/>
                <w:lang w:eastAsia="zh-CN"/>
              </w:rPr>
            </w:pPr>
            <w:r>
              <w:rPr>
                <w:rFonts w:hint="default" w:ascii="Times New Roman" w:hAnsi="Times New Roman" w:eastAsia="宋体" w:cs="Times New Roman"/>
                <w:sz w:val="18"/>
                <w:szCs w:val="18"/>
              </w:rPr>
              <w:t>（</w:t>
            </w:r>
            <w:r>
              <w:rPr>
                <w:rFonts w:hint="default" w:ascii="Times New Roman" w:hAnsi="Times New Roman" w:eastAsia="Times New Roman" w:cs="Times New Roman"/>
                <w:sz w:val="18"/>
                <w:szCs w:val="18"/>
              </w:rPr>
              <w:t xml:space="preserve">1h </w:t>
            </w:r>
            <w:r>
              <w:rPr>
                <w:rFonts w:hint="default" w:ascii="Times New Roman" w:hAnsi="Times New Roman" w:eastAsia="宋体" w:cs="Times New Roman"/>
                <w:sz w:val="18"/>
                <w:szCs w:val="18"/>
              </w:rPr>
              <w:t>平均浓度值）</w:t>
            </w:r>
          </w:p>
        </w:tc>
        <w:tc>
          <w:tcPr>
            <w:tcW w:w="1392" w:type="dxa"/>
            <w:vAlign w:val="center"/>
          </w:tcPr>
          <w:p w14:paraId="6422E8BE">
            <w:pPr>
              <w:ind w:left="0" w:leftChars="0"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提高收集效率</w:t>
            </w:r>
          </w:p>
        </w:tc>
        <w:tc>
          <w:tcPr>
            <w:tcW w:w="2690" w:type="dxa"/>
            <w:vAlign w:val="center"/>
          </w:tcPr>
          <w:p w14:paraId="0D821C5E">
            <w:pPr>
              <w:pStyle w:val="2"/>
              <w:jc w:val="both"/>
              <w:rPr>
                <w:rFonts w:hint="default" w:ascii="Times New Roman" w:hAnsi="Times New Roman" w:cs="Times New Roman"/>
                <w:sz w:val="18"/>
                <w:szCs w:val="18"/>
              </w:rPr>
            </w:pPr>
            <w:r>
              <w:rPr>
                <w:rFonts w:hint="default" w:ascii="Times New Roman" w:hAnsi="Times New Roman" w:cs="Times New Roman"/>
                <w:sz w:val="18"/>
                <w:szCs w:val="18"/>
              </w:rPr>
              <w:t>DB35/1783-2018《工业涂装工序挥发性有机物排放标准》中表3标准</w:t>
            </w:r>
          </w:p>
        </w:tc>
      </w:tr>
      <w:tr w14:paraId="7D101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continue"/>
            <w:vAlign w:val="center"/>
          </w:tcPr>
          <w:p w14:paraId="70A2E9C4">
            <w:pPr>
              <w:pStyle w:val="2"/>
              <w:jc w:val="center"/>
              <w:rPr>
                <w:rFonts w:hint="default" w:ascii="Times New Roman" w:hAnsi="Times New Roman" w:cs="Times New Roman"/>
                <w:sz w:val="18"/>
                <w:szCs w:val="18"/>
              </w:rPr>
            </w:pPr>
          </w:p>
        </w:tc>
        <w:tc>
          <w:tcPr>
            <w:tcW w:w="1543" w:type="dxa"/>
            <w:vMerge w:val="restart"/>
            <w:vAlign w:val="center"/>
          </w:tcPr>
          <w:p w14:paraId="10AA9684">
            <w:pPr>
              <w:pStyle w:val="2"/>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厂界无组织</w:t>
            </w:r>
          </w:p>
        </w:tc>
        <w:tc>
          <w:tcPr>
            <w:tcW w:w="1896" w:type="dxa"/>
            <w:vAlign w:val="center"/>
          </w:tcPr>
          <w:p w14:paraId="44916C0A">
            <w:pPr>
              <w:pStyle w:val="2"/>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颗粒物</w:t>
            </w:r>
          </w:p>
        </w:tc>
        <w:tc>
          <w:tcPr>
            <w:tcW w:w="1392" w:type="dxa"/>
            <w:vAlign w:val="center"/>
          </w:tcPr>
          <w:p w14:paraId="29F9232E">
            <w:pPr>
              <w:ind w:left="0" w:leftChars="0"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提高收集效率</w:t>
            </w:r>
          </w:p>
        </w:tc>
        <w:tc>
          <w:tcPr>
            <w:tcW w:w="2690" w:type="dxa"/>
            <w:vAlign w:val="center"/>
          </w:tcPr>
          <w:p w14:paraId="2A4DBB6A">
            <w:pPr>
              <w:pStyle w:val="2"/>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rPr>
              <w:t>GB</w:t>
            </w:r>
            <w:r>
              <w:rPr>
                <w:rFonts w:hint="default" w:ascii="Times New Roman" w:hAnsi="Times New Roman" w:cs="Times New Roman"/>
                <w:sz w:val="18"/>
                <w:szCs w:val="18"/>
                <w:lang w:val="en-US" w:eastAsia="zh-CN"/>
              </w:rPr>
              <w:t xml:space="preserve">16297-1996 </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大气污染物综合排放标准</w:t>
            </w:r>
            <w:r>
              <w:rPr>
                <w:rFonts w:hint="default" w:ascii="Times New Roman" w:hAnsi="Times New Roman" w:cs="Times New Roman"/>
                <w:sz w:val="18"/>
                <w:szCs w:val="18"/>
              </w:rPr>
              <w:t>》中表2相关标准</w:t>
            </w:r>
          </w:p>
        </w:tc>
      </w:tr>
      <w:tr w14:paraId="052AF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Merge w:val="continue"/>
            <w:vAlign w:val="center"/>
          </w:tcPr>
          <w:p w14:paraId="3805F4F5">
            <w:pPr>
              <w:pStyle w:val="2"/>
              <w:jc w:val="center"/>
              <w:rPr>
                <w:rFonts w:hint="default" w:ascii="Times New Roman" w:hAnsi="Times New Roman" w:cs="Times New Roman"/>
                <w:sz w:val="18"/>
                <w:szCs w:val="18"/>
              </w:rPr>
            </w:pPr>
          </w:p>
        </w:tc>
        <w:tc>
          <w:tcPr>
            <w:tcW w:w="1543" w:type="dxa"/>
            <w:vMerge w:val="continue"/>
            <w:vAlign w:val="center"/>
          </w:tcPr>
          <w:p w14:paraId="0F4C53A7">
            <w:pPr>
              <w:pStyle w:val="2"/>
              <w:jc w:val="center"/>
              <w:rPr>
                <w:rFonts w:hint="default" w:ascii="Times New Roman" w:hAnsi="Times New Roman" w:cs="Times New Roman"/>
                <w:sz w:val="18"/>
                <w:szCs w:val="18"/>
                <w:lang w:eastAsia="zh-CN"/>
              </w:rPr>
            </w:pPr>
          </w:p>
        </w:tc>
        <w:tc>
          <w:tcPr>
            <w:tcW w:w="1896" w:type="dxa"/>
            <w:vAlign w:val="center"/>
          </w:tcPr>
          <w:p w14:paraId="51516FD3">
            <w:pPr>
              <w:pStyle w:val="2"/>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rPr>
              <w:t>非甲烷总烃、</w:t>
            </w:r>
            <w:r>
              <w:rPr>
                <w:rFonts w:hint="default" w:ascii="Times New Roman" w:hAnsi="Times New Roman" w:cs="Times New Roman"/>
                <w:sz w:val="18"/>
                <w:szCs w:val="18"/>
                <w:lang w:val="en-US" w:eastAsia="zh-CN"/>
              </w:rPr>
              <w:t>甲苯、二甲苯、乙酸乙酯</w:t>
            </w:r>
          </w:p>
        </w:tc>
        <w:tc>
          <w:tcPr>
            <w:tcW w:w="1392" w:type="dxa"/>
            <w:vAlign w:val="center"/>
          </w:tcPr>
          <w:p w14:paraId="6DBB4B8A">
            <w:pPr>
              <w:ind w:left="0" w:leftChars="0"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提高收集效率</w:t>
            </w:r>
          </w:p>
        </w:tc>
        <w:tc>
          <w:tcPr>
            <w:tcW w:w="2690" w:type="dxa"/>
            <w:vAlign w:val="center"/>
          </w:tcPr>
          <w:p w14:paraId="0F4FF896">
            <w:pPr>
              <w:pStyle w:val="2"/>
              <w:jc w:val="both"/>
              <w:rPr>
                <w:rFonts w:hint="default" w:ascii="Times New Roman" w:hAnsi="Times New Roman" w:cs="Times New Roman"/>
                <w:sz w:val="18"/>
                <w:szCs w:val="18"/>
              </w:rPr>
            </w:pPr>
            <w:r>
              <w:rPr>
                <w:rFonts w:hint="default" w:ascii="Times New Roman" w:hAnsi="Times New Roman" w:cs="Times New Roman"/>
                <w:sz w:val="18"/>
                <w:szCs w:val="18"/>
              </w:rPr>
              <w:t>DB35/1783-2018《工业涂装工序挥发性有机物排放标准》中表4标准</w:t>
            </w:r>
          </w:p>
        </w:tc>
      </w:tr>
      <w:tr w14:paraId="565BE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2E8B609E">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地表水环境</w:t>
            </w:r>
          </w:p>
        </w:tc>
        <w:tc>
          <w:tcPr>
            <w:tcW w:w="1543" w:type="dxa"/>
            <w:vAlign w:val="center"/>
          </w:tcPr>
          <w:p w14:paraId="3C4D227E">
            <w:pPr>
              <w:pStyle w:val="2"/>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w:t>
            </w:r>
          </w:p>
        </w:tc>
        <w:tc>
          <w:tcPr>
            <w:tcW w:w="1896" w:type="dxa"/>
            <w:vAlign w:val="center"/>
          </w:tcPr>
          <w:p w14:paraId="79A73855">
            <w:pPr>
              <w:pStyle w:val="2"/>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w:t>
            </w:r>
          </w:p>
        </w:tc>
        <w:tc>
          <w:tcPr>
            <w:tcW w:w="1392" w:type="dxa"/>
            <w:vAlign w:val="center"/>
          </w:tcPr>
          <w:p w14:paraId="6B4E7ECE">
            <w:pPr>
              <w:pStyle w:val="2"/>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w:t>
            </w:r>
          </w:p>
        </w:tc>
        <w:tc>
          <w:tcPr>
            <w:tcW w:w="2690" w:type="dxa"/>
            <w:vAlign w:val="center"/>
          </w:tcPr>
          <w:p w14:paraId="01B91C87">
            <w:pPr>
              <w:pStyle w:val="2"/>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w:t>
            </w:r>
          </w:p>
        </w:tc>
      </w:tr>
      <w:tr w14:paraId="266FD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67364EB8">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声环境</w:t>
            </w:r>
          </w:p>
        </w:tc>
        <w:tc>
          <w:tcPr>
            <w:tcW w:w="1543" w:type="dxa"/>
            <w:vAlign w:val="center"/>
          </w:tcPr>
          <w:p w14:paraId="0940AE05">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生产设备运行噪声</w:t>
            </w:r>
          </w:p>
        </w:tc>
        <w:tc>
          <w:tcPr>
            <w:tcW w:w="1896" w:type="dxa"/>
            <w:vAlign w:val="center"/>
          </w:tcPr>
          <w:p w14:paraId="0451C759">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噪声</w:t>
            </w:r>
          </w:p>
        </w:tc>
        <w:tc>
          <w:tcPr>
            <w:tcW w:w="1392" w:type="dxa"/>
            <w:vAlign w:val="center"/>
          </w:tcPr>
          <w:p w14:paraId="46E0E98D">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隔声减振</w:t>
            </w:r>
          </w:p>
        </w:tc>
        <w:tc>
          <w:tcPr>
            <w:tcW w:w="2690" w:type="dxa"/>
            <w:vAlign w:val="center"/>
          </w:tcPr>
          <w:p w14:paraId="50DFF8FC">
            <w:pPr>
              <w:pStyle w:val="2"/>
              <w:jc w:val="left"/>
              <w:rPr>
                <w:rFonts w:hint="default" w:ascii="Times New Roman" w:hAnsi="Times New Roman" w:cs="Times New Roman"/>
                <w:sz w:val="18"/>
                <w:szCs w:val="18"/>
              </w:rPr>
            </w:pPr>
            <w:r>
              <w:rPr>
                <w:rFonts w:hint="default" w:ascii="Times New Roman" w:hAnsi="Times New Roman" w:cs="Times New Roman"/>
                <w:sz w:val="18"/>
                <w:szCs w:val="18"/>
              </w:rPr>
              <w:t>GB12348-2008</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《工业企业厂界环境噪声排放标准》中3类标准</w:t>
            </w:r>
          </w:p>
        </w:tc>
      </w:tr>
      <w:tr w14:paraId="4C2B0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1BC0CCC4">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电磁辐射</w:t>
            </w:r>
          </w:p>
        </w:tc>
        <w:tc>
          <w:tcPr>
            <w:tcW w:w="1543" w:type="dxa"/>
            <w:vAlign w:val="center"/>
          </w:tcPr>
          <w:p w14:paraId="29B9EA4F">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896" w:type="dxa"/>
            <w:vAlign w:val="center"/>
          </w:tcPr>
          <w:p w14:paraId="6D551309">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392" w:type="dxa"/>
            <w:vAlign w:val="center"/>
          </w:tcPr>
          <w:p w14:paraId="6DCEB387">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2690" w:type="dxa"/>
            <w:vAlign w:val="center"/>
          </w:tcPr>
          <w:p w14:paraId="13BA1D7B">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14:paraId="3DC0D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2F6DA188">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固体废物</w:t>
            </w:r>
          </w:p>
        </w:tc>
        <w:tc>
          <w:tcPr>
            <w:tcW w:w="7521" w:type="dxa"/>
            <w:gridSpan w:val="4"/>
            <w:vAlign w:val="center"/>
          </w:tcPr>
          <w:p w14:paraId="2960E6A5">
            <w:pPr>
              <w:pStyle w:val="2"/>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于</w:t>
            </w:r>
            <w:r>
              <w:rPr>
                <w:rFonts w:hint="eastAsia" w:ascii="Times New Roman" w:hAnsi="Times New Roman" w:cs="Times New Roman"/>
                <w:sz w:val="18"/>
                <w:szCs w:val="18"/>
                <w:lang w:val="en-US" w:eastAsia="zh-CN"/>
              </w:rPr>
              <w:t>1号楼3楼</w:t>
            </w:r>
            <w:r>
              <w:rPr>
                <w:rFonts w:hint="default" w:ascii="Times New Roman" w:hAnsi="Times New Roman" w:cs="Times New Roman"/>
                <w:sz w:val="18"/>
                <w:szCs w:val="18"/>
                <w:lang w:val="en-US" w:eastAsia="zh-CN"/>
              </w:rPr>
              <w:t>设有一间面积约为</w:t>
            </w:r>
            <w:r>
              <w:rPr>
                <w:rFonts w:hint="eastAsia" w:ascii="Times New Roman" w:hAnsi="Times New Roman" w:cs="Times New Roman"/>
                <w:sz w:val="18"/>
                <w:szCs w:val="18"/>
                <w:highlight w:val="none"/>
                <w:lang w:val="en-US" w:eastAsia="zh-CN"/>
              </w:rPr>
              <w:t>10</w:t>
            </w:r>
            <w:r>
              <w:rPr>
                <w:rFonts w:hint="default" w:ascii="Times New Roman" w:hAnsi="Times New Roman" w:cs="Times New Roman"/>
                <w:sz w:val="18"/>
                <w:szCs w:val="18"/>
                <w:highlight w:val="none"/>
                <w:lang w:val="en-US" w:eastAsia="zh-CN"/>
              </w:rPr>
              <w:t>m</w:t>
            </w:r>
            <w:r>
              <w:rPr>
                <w:rFonts w:hint="default" w:ascii="Times New Roman" w:hAnsi="Times New Roman" w:cs="Times New Roman"/>
                <w:sz w:val="18"/>
                <w:szCs w:val="18"/>
                <w:highlight w:val="none"/>
                <w:vertAlign w:val="superscript"/>
                <w:lang w:val="en-US" w:eastAsia="zh-CN"/>
              </w:rPr>
              <w:t>2</w:t>
            </w:r>
            <w:r>
              <w:rPr>
                <w:rFonts w:hint="default" w:ascii="Times New Roman" w:hAnsi="Times New Roman" w:cs="Times New Roman"/>
                <w:sz w:val="18"/>
                <w:szCs w:val="18"/>
                <w:lang w:val="en-US" w:eastAsia="zh-CN"/>
              </w:rPr>
              <w:t>的危废间，可满足危险废物的贮存要求。</w:t>
            </w:r>
          </w:p>
          <w:p w14:paraId="26B7EF9A">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①</w:t>
            </w:r>
            <w:r>
              <w:rPr>
                <w:rFonts w:hint="default" w:ascii="Times New Roman" w:hAnsi="Times New Roman" w:cs="Times New Roman"/>
                <w:sz w:val="18"/>
                <w:szCs w:val="18"/>
                <w:lang w:val="en-US" w:eastAsia="zh-CN"/>
              </w:rPr>
              <w:t>切割、刨平、打磨、开料、制作造型</w:t>
            </w:r>
            <w:r>
              <w:rPr>
                <w:rFonts w:hint="eastAsia" w:ascii="Times New Roman" w:hAnsi="Times New Roman" w:cs="Times New Roman"/>
                <w:sz w:val="18"/>
                <w:szCs w:val="18"/>
                <w:lang w:val="en-US" w:eastAsia="zh-CN"/>
              </w:rPr>
              <w:t>等</w:t>
            </w:r>
            <w:r>
              <w:rPr>
                <w:rFonts w:hint="default" w:ascii="Times New Roman" w:hAnsi="Times New Roman" w:cs="Times New Roman"/>
                <w:sz w:val="18"/>
                <w:szCs w:val="18"/>
                <w:lang w:eastAsia="zh-CN"/>
              </w:rPr>
              <w:t>工序</w:t>
            </w:r>
            <w:r>
              <w:rPr>
                <w:rFonts w:hint="eastAsia" w:ascii="Times New Roman" w:hAnsi="Times New Roman" w:cs="Times New Roman"/>
                <w:sz w:val="18"/>
                <w:szCs w:val="18"/>
                <w:lang w:val="en-US" w:eastAsia="zh-CN"/>
              </w:rPr>
              <w:t>经</w:t>
            </w:r>
            <w:r>
              <w:rPr>
                <w:rFonts w:hint="default" w:ascii="Times New Roman" w:hAnsi="Times New Roman" w:cs="Times New Roman"/>
                <w:sz w:val="18"/>
                <w:szCs w:val="18"/>
                <w:lang w:eastAsia="zh-CN"/>
              </w:rPr>
              <w:t>布袋收集的粉尘</w:t>
            </w:r>
            <w:r>
              <w:rPr>
                <w:rFonts w:hint="default" w:ascii="Times New Roman" w:hAnsi="Times New Roman" w:cs="Times New Roman"/>
                <w:sz w:val="18"/>
                <w:szCs w:val="18"/>
                <w:lang w:val="en-US" w:eastAsia="zh-CN"/>
              </w:rPr>
              <w:t>收集后委托外单位回收利用</w:t>
            </w:r>
            <w:r>
              <w:rPr>
                <w:rFonts w:hint="default" w:ascii="Times New Roman" w:hAnsi="Times New Roman" w:cs="Times New Roman"/>
                <w:sz w:val="18"/>
                <w:szCs w:val="18"/>
              </w:rPr>
              <w:t>；</w:t>
            </w:r>
          </w:p>
          <w:p w14:paraId="1B821098">
            <w:pPr>
              <w:pStyle w:val="2"/>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②</w:t>
            </w:r>
            <w:r>
              <w:rPr>
                <w:rFonts w:hint="default" w:ascii="Times New Roman" w:hAnsi="Times New Roman" w:cs="Times New Roman"/>
                <w:sz w:val="18"/>
                <w:szCs w:val="18"/>
                <w:lang w:val="en-US" w:eastAsia="zh-CN"/>
              </w:rPr>
              <w:t>原料空桶</w:t>
            </w:r>
            <w:r>
              <w:rPr>
                <w:rFonts w:hint="default" w:ascii="Times New Roman" w:hAnsi="Times New Roman" w:cs="Times New Roman"/>
                <w:sz w:val="18"/>
                <w:szCs w:val="18"/>
              </w:rPr>
              <w:t>按危险废物管理，</w:t>
            </w:r>
            <w:r>
              <w:rPr>
                <w:rFonts w:hint="default" w:ascii="Times New Roman" w:hAnsi="Times New Roman" w:cs="Times New Roman"/>
                <w:sz w:val="18"/>
                <w:szCs w:val="18"/>
                <w:lang w:val="en-US" w:eastAsia="zh-CN"/>
              </w:rPr>
              <w:t>收集后</w:t>
            </w:r>
            <w:r>
              <w:rPr>
                <w:rFonts w:hint="default" w:ascii="Times New Roman" w:hAnsi="Times New Roman" w:cs="Times New Roman"/>
                <w:sz w:val="18"/>
                <w:szCs w:val="18"/>
              </w:rPr>
              <w:t>于危废暂存间，由生产厂家</w:t>
            </w:r>
            <w:r>
              <w:rPr>
                <w:rFonts w:hint="default" w:ascii="Times New Roman" w:hAnsi="Times New Roman" w:cs="Times New Roman"/>
                <w:sz w:val="18"/>
                <w:szCs w:val="18"/>
                <w:lang w:val="en-US" w:eastAsia="zh-CN"/>
              </w:rPr>
              <w:t>定期</w:t>
            </w:r>
            <w:r>
              <w:rPr>
                <w:rFonts w:hint="default" w:ascii="Times New Roman" w:hAnsi="Times New Roman" w:cs="Times New Roman"/>
                <w:sz w:val="18"/>
                <w:szCs w:val="18"/>
              </w:rPr>
              <w:t>回收；</w:t>
            </w:r>
          </w:p>
          <w:p w14:paraId="05502E57">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③</w:t>
            </w:r>
            <w:r>
              <w:rPr>
                <w:rFonts w:hint="default" w:ascii="Times New Roman" w:hAnsi="Times New Roman" w:cs="Times New Roman"/>
                <w:sz w:val="18"/>
                <w:szCs w:val="18"/>
              </w:rPr>
              <w:t>漆渣</w:t>
            </w:r>
            <w:r>
              <w:rPr>
                <w:rFonts w:hint="eastAsia" w:ascii="Times New Roman" w:hAnsi="Times New Roman" w:cs="Times New Roman"/>
                <w:sz w:val="18"/>
                <w:szCs w:val="18"/>
                <w:lang w:eastAsia="zh-CN"/>
              </w:rPr>
              <w:t>、</w:t>
            </w:r>
            <w:r>
              <w:rPr>
                <w:rFonts w:hint="default" w:ascii="Times New Roman" w:hAnsi="Times New Roman" w:cs="Times New Roman"/>
                <w:sz w:val="18"/>
                <w:szCs w:val="18"/>
              </w:rPr>
              <w:t>底漆打磨粉尘</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废活性炭</w:t>
            </w:r>
            <w:r>
              <w:rPr>
                <w:rFonts w:hint="default" w:ascii="Times New Roman" w:hAnsi="Times New Roman" w:cs="Times New Roman"/>
                <w:sz w:val="18"/>
                <w:szCs w:val="18"/>
              </w:rPr>
              <w:t>暂存于危废暂存间，定期委托有资质单位处置；</w:t>
            </w:r>
          </w:p>
          <w:p w14:paraId="63619B0F">
            <w:pPr>
              <w:pStyle w:val="2"/>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④</w:t>
            </w:r>
            <w:r>
              <w:rPr>
                <w:rFonts w:hint="default" w:ascii="Times New Roman" w:hAnsi="Times New Roman" w:cs="Times New Roman"/>
                <w:sz w:val="18"/>
                <w:szCs w:val="18"/>
              </w:rPr>
              <w:t>生活垃圾集中收集后由当地环卫部门统一处置</w:t>
            </w:r>
            <w:r>
              <w:rPr>
                <w:rFonts w:hint="default" w:ascii="Times New Roman" w:hAnsi="Times New Roman" w:cs="Times New Roman"/>
                <w:sz w:val="18"/>
                <w:szCs w:val="18"/>
                <w:lang w:eastAsia="zh-CN"/>
              </w:rPr>
              <w:t>。</w:t>
            </w:r>
          </w:p>
        </w:tc>
      </w:tr>
      <w:tr w14:paraId="40C6F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40816668">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土壤及地下水污染防治措施</w:t>
            </w:r>
          </w:p>
        </w:tc>
        <w:tc>
          <w:tcPr>
            <w:tcW w:w="7521" w:type="dxa"/>
            <w:gridSpan w:val="4"/>
            <w:vAlign w:val="center"/>
          </w:tcPr>
          <w:p w14:paraId="2979DE9D">
            <w:pPr>
              <w:pStyle w:val="2"/>
              <w:jc w:val="both"/>
              <w:rPr>
                <w:rFonts w:hint="default" w:ascii="Times New Roman" w:hAnsi="Times New Roman" w:cs="Times New Roman"/>
                <w:sz w:val="18"/>
                <w:szCs w:val="18"/>
              </w:rPr>
            </w:pPr>
            <w:r>
              <w:rPr>
                <w:rFonts w:hint="default" w:ascii="Times New Roman" w:hAnsi="Times New Roman" w:cs="Times New Roman"/>
                <w:sz w:val="18"/>
                <w:szCs w:val="18"/>
              </w:rPr>
              <w:t>①加强废气环保设施管理，保证废气达标排放；</w:t>
            </w:r>
          </w:p>
          <w:p w14:paraId="49E6E664">
            <w:pPr>
              <w:pStyle w:val="2"/>
              <w:jc w:val="both"/>
              <w:rPr>
                <w:rFonts w:hint="default" w:ascii="Times New Roman" w:hAnsi="Times New Roman" w:cs="Times New Roman"/>
                <w:sz w:val="18"/>
                <w:szCs w:val="18"/>
              </w:rPr>
            </w:pPr>
            <w:r>
              <w:rPr>
                <w:rFonts w:hint="default" w:ascii="Times New Roman" w:hAnsi="Times New Roman" w:cs="Times New Roman"/>
                <w:sz w:val="18"/>
                <w:szCs w:val="18"/>
              </w:rPr>
              <w:t>②生活污水经厂区内化粪池处理后排入市政污水管网；</w:t>
            </w:r>
          </w:p>
          <w:p w14:paraId="5D97FAC1">
            <w:pPr>
              <w:pStyle w:val="2"/>
              <w:jc w:val="both"/>
              <w:rPr>
                <w:rFonts w:hint="default" w:ascii="Times New Roman" w:hAnsi="Times New Roman" w:cs="Times New Roman"/>
                <w:sz w:val="18"/>
                <w:szCs w:val="18"/>
              </w:rPr>
            </w:pPr>
            <w:r>
              <w:rPr>
                <w:rFonts w:hint="default" w:ascii="Times New Roman" w:hAnsi="Times New Roman" w:cs="Times New Roman"/>
                <w:sz w:val="18"/>
                <w:szCs w:val="18"/>
              </w:rPr>
              <w:t>③排水管道和污水处理设施均具有防渗功能，切断了废水进入土壤的途径；</w:t>
            </w:r>
          </w:p>
          <w:p w14:paraId="6649C5D0">
            <w:pPr>
              <w:pStyle w:val="2"/>
              <w:jc w:val="both"/>
              <w:rPr>
                <w:rFonts w:hint="default" w:ascii="Times New Roman" w:hAnsi="Times New Roman" w:cs="Times New Roman"/>
                <w:sz w:val="18"/>
                <w:szCs w:val="18"/>
              </w:rPr>
            </w:pPr>
            <w:r>
              <w:rPr>
                <w:rFonts w:hint="default" w:ascii="Times New Roman" w:hAnsi="Times New Roman" w:cs="Times New Roman"/>
                <w:sz w:val="18"/>
                <w:szCs w:val="18"/>
              </w:rPr>
              <w:t>④危险固废及原料空桶暂存厂区的危废暂存间，采取防雨、防渗、防洪等措施；</w:t>
            </w:r>
          </w:p>
          <w:p w14:paraId="0F4E6E67">
            <w:pPr>
              <w:pStyle w:val="2"/>
              <w:jc w:val="both"/>
              <w:rPr>
                <w:rFonts w:hint="default" w:ascii="Times New Roman" w:hAnsi="Times New Roman" w:cs="Times New Roman"/>
                <w:sz w:val="18"/>
                <w:szCs w:val="18"/>
              </w:rPr>
            </w:pPr>
            <w:r>
              <w:rPr>
                <w:rFonts w:hint="default" w:ascii="Times New Roman" w:hAnsi="Times New Roman" w:cs="Times New Roman"/>
                <w:sz w:val="18"/>
                <w:szCs w:val="18"/>
              </w:rPr>
              <w:t>⑤厂房车间土地硬化，危险品库采用环氧树脂防渗，防止车间内的危险化学品泄漏到地面后渗入到土壤中；</w:t>
            </w:r>
          </w:p>
          <w:p w14:paraId="02C036FA">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rPr>
              <w:t>⑥危化品运输过程中应严格按照《危化品运输管理条例》</w:t>
            </w:r>
            <w:r>
              <w:rPr>
                <w:rFonts w:hint="default" w:ascii="Times New Roman" w:hAnsi="Times New Roman" w:cs="Times New Roman"/>
                <w:sz w:val="18"/>
                <w:szCs w:val="18"/>
                <w:lang w:eastAsia="zh-CN"/>
              </w:rPr>
              <w:t>。</w:t>
            </w:r>
          </w:p>
        </w:tc>
      </w:tr>
      <w:tr w14:paraId="7D8A8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7AD578A0">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生态保护措施</w:t>
            </w:r>
          </w:p>
        </w:tc>
        <w:tc>
          <w:tcPr>
            <w:tcW w:w="7521" w:type="dxa"/>
            <w:gridSpan w:val="4"/>
            <w:vAlign w:val="center"/>
          </w:tcPr>
          <w:p w14:paraId="33FE6BEE">
            <w:pPr>
              <w:pStyle w:val="2"/>
              <w:jc w:val="center"/>
              <w:rPr>
                <w:rFonts w:hint="default" w:ascii="Times New Roman" w:hAnsi="Times New Roman" w:cs="Times New Roman"/>
                <w:sz w:val="18"/>
                <w:szCs w:val="18"/>
              </w:rPr>
            </w:pPr>
            <w:r>
              <w:rPr>
                <w:rFonts w:hint="default" w:ascii="Times New Roman" w:hAnsi="Times New Roman" w:eastAsia="宋体" w:cs="Times New Roman"/>
                <w:sz w:val="18"/>
                <w:szCs w:val="18"/>
              </w:rPr>
              <w:t>/</w:t>
            </w:r>
          </w:p>
        </w:tc>
      </w:tr>
      <w:tr w14:paraId="56A4B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3" w:type="dxa"/>
            <w:vAlign w:val="center"/>
          </w:tcPr>
          <w:p w14:paraId="5FC7F306">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环境风险</w:t>
            </w:r>
          </w:p>
          <w:p w14:paraId="533F0E40">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防范措施</w:t>
            </w:r>
          </w:p>
        </w:tc>
        <w:tc>
          <w:tcPr>
            <w:tcW w:w="7521" w:type="dxa"/>
            <w:gridSpan w:val="4"/>
            <w:vAlign w:val="center"/>
          </w:tcPr>
          <w:p w14:paraId="22C3CF70">
            <w:pPr>
              <w:pStyle w:val="2"/>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①</w:t>
            </w:r>
            <w:r>
              <w:rPr>
                <w:rFonts w:hint="default" w:ascii="Times New Roman" w:hAnsi="Times New Roman" w:cs="Times New Roman"/>
                <w:sz w:val="18"/>
                <w:szCs w:val="18"/>
              </w:rPr>
              <w:t>在生产、经营等各方面必须严格执行有关法律、法规。具体如《中华人民共和国消防法》、《仓库防火安全管理规则》等；</w:t>
            </w:r>
          </w:p>
          <w:p w14:paraId="50EBD20A">
            <w:pPr>
              <w:pStyle w:val="2"/>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②</w:t>
            </w:r>
            <w:r>
              <w:rPr>
                <w:rFonts w:hint="default" w:ascii="Times New Roman" w:hAnsi="Times New Roman" w:cs="Times New Roman"/>
                <w:sz w:val="18"/>
                <w:szCs w:val="18"/>
              </w:rPr>
              <w:t>设立安全与环保专员，负责全厂的安全运营，建立完善的安全生产管理制度，加强安全生产的宣传和教育,确保安全生产落实到生产中的每一个环节，禁止员工人员在车间内吸烟等；</w:t>
            </w:r>
          </w:p>
          <w:p w14:paraId="26E7751D">
            <w:pPr>
              <w:pStyle w:val="2"/>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③</w:t>
            </w:r>
            <w:r>
              <w:rPr>
                <w:rFonts w:hint="default" w:ascii="Times New Roman" w:hAnsi="Times New Roman" w:cs="Times New Roman"/>
                <w:sz w:val="18"/>
                <w:szCs w:val="18"/>
              </w:rPr>
              <w:t>公司车间内配备一定量的灭火器，保证事故状态下火灾发生进行应急处理；</w:t>
            </w:r>
          </w:p>
          <w:p w14:paraId="224247B7">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④</w:t>
            </w:r>
            <w:r>
              <w:rPr>
                <w:rFonts w:hint="default" w:ascii="Times New Roman" w:hAnsi="Times New Roman" w:cs="Times New Roman"/>
                <w:sz w:val="18"/>
                <w:szCs w:val="18"/>
              </w:rPr>
              <w:t>发生火灾事故时，应立即报告上级部门，并挂火警电话。发生事故后应迅速弄清现场情况，采取有效措施，严防冒险抢救</w:t>
            </w:r>
            <w:r>
              <w:rPr>
                <w:rFonts w:hint="default" w:ascii="Times New Roman" w:hAnsi="Times New Roman" w:cs="Times New Roman"/>
                <w:sz w:val="18"/>
                <w:szCs w:val="18"/>
                <w:lang w:eastAsia="zh-CN"/>
              </w:rPr>
              <w:t>；</w:t>
            </w:r>
          </w:p>
          <w:p w14:paraId="283E3368">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⑤</w:t>
            </w:r>
            <w:r>
              <w:rPr>
                <w:rFonts w:hint="default" w:ascii="Times New Roman" w:hAnsi="Times New Roman" w:cs="Times New Roman"/>
                <w:sz w:val="18"/>
                <w:szCs w:val="18"/>
              </w:rPr>
              <w:t>抢救事故的所有人员必须服从统一领导和指挥。指挥人员应是企业领导人（厂长、车间主任或值班负责人）</w:t>
            </w:r>
            <w:r>
              <w:rPr>
                <w:rFonts w:hint="default" w:ascii="Times New Roman" w:hAnsi="Times New Roman" w:cs="Times New Roman"/>
                <w:sz w:val="18"/>
                <w:szCs w:val="18"/>
                <w:lang w:eastAsia="zh-CN"/>
              </w:rPr>
              <w:t>；</w:t>
            </w:r>
          </w:p>
          <w:p w14:paraId="358490BD">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⑥</w:t>
            </w:r>
            <w:r>
              <w:rPr>
                <w:rFonts w:hint="default" w:ascii="Times New Roman" w:hAnsi="Times New Roman" w:cs="Times New Roman"/>
                <w:sz w:val="18"/>
                <w:szCs w:val="18"/>
              </w:rPr>
              <w:t>对仓间进行防渗处理，硬化地面和基础防渗层，地面无裂隙。包装容器符合要求，保持容器封闭。定期检查是否有泄漏现象</w:t>
            </w:r>
            <w:r>
              <w:rPr>
                <w:rFonts w:hint="default" w:ascii="Times New Roman" w:hAnsi="Times New Roman" w:cs="Times New Roman"/>
                <w:sz w:val="18"/>
                <w:szCs w:val="18"/>
                <w:lang w:eastAsia="zh-CN"/>
              </w:rPr>
              <w:t>；</w:t>
            </w:r>
          </w:p>
          <w:p w14:paraId="4B1E95C3">
            <w:pPr>
              <w:pStyle w:val="2"/>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⑦</w:t>
            </w:r>
            <w:r>
              <w:rPr>
                <w:rFonts w:hint="default" w:ascii="Times New Roman" w:hAnsi="Times New Roman" w:cs="Times New Roman"/>
                <w:sz w:val="18"/>
                <w:szCs w:val="18"/>
              </w:rPr>
              <w:t>加强职工的安全教育，提高安全防范风险的意识；运输、贮存、使用过程中严格执行国务院颁发的《化学危险品安全管理条例》有关规定。</w:t>
            </w:r>
          </w:p>
        </w:tc>
      </w:tr>
      <w:tr w14:paraId="6F612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3" w:type="dxa"/>
            <w:vAlign w:val="center"/>
          </w:tcPr>
          <w:p w14:paraId="13A0FB64">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其他环境</w:t>
            </w:r>
          </w:p>
          <w:p w14:paraId="28FDF2B9">
            <w:pPr>
              <w:pStyle w:val="2"/>
              <w:jc w:val="center"/>
              <w:rPr>
                <w:rFonts w:hint="default" w:ascii="Times New Roman" w:hAnsi="Times New Roman" w:cs="Times New Roman"/>
                <w:sz w:val="18"/>
                <w:szCs w:val="18"/>
              </w:rPr>
            </w:pPr>
            <w:r>
              <w:rPr>
                <w:rFonts w:hint="default" w:ascii="Times New Roman" w:hAnsi="Times New Roman" w:cs="Times New Roman"/>
                <w:sz w:val="18"/>
                <w:szCs w:val="18"/>
              </w:rPr>
              <w:t>管理要求</w:t>
            </w:r>
          </w:p>
        </w:tc>
        <w:tc>
          <w:tcPr>
            <w:tcW w:w="7521" w:type="dxa"/>
            <w:gridSpan w:val="4"/>
            <w:vAlign w:val="center"/>
          </w:tcPr>
          <w:p w14:paraId="27DDFAD7">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①</w:t>
            </w:r>
            <w:r>
              <w:rPr>
                <w:rFonts w:hint="default" w:ascii="Times New Roman" w:hAnsi="Times New Roman" w:cs="Times New Roman"/>
                <w:sz w:val="18"/>
                <w:szCs w:val="18"/>
              </w:rPr>
              <w:t>设置专门环保人员，保持日常环境卫生，制定各环保设施操作规程，定期维修制度，使各环保设施在生产过程中处于良好的运行状态</w:t>
            </w:r>
            <w:r>
              <w:rPr>
                <w:rFonts w:hint="default" w:ascii="Times New Roman" w:hAnsi="Times New Roman" w:cs="Times New Roman"/>
                <w:sz w:val="18"/>
                <w:szCs w:val="18"/>
                <w:lang w:eastAsia="zh-CN"/>
              </w:rPr>
              <w:t>；</w:t>
            </w:r>
          </w:p>
          <w:p w14:paraId="39BDBC92">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②</w:t>
            </w:r>
            <w:r>
              <w:rPr>
                <w:rFonts w:hint="default" w:ascii="Times New Roman" w:hAnsi="Times New Roman" w:cs="Times New Roman"/>
                <w:sz w:val="18"/>
                <w:szCs w:val="18"/>
              </w:rPr>
              <w:t>加强对环保设施的运行管理，对运行情况实行监测、记录、汇报制度。如环保设施出现故障，应立即停产检修，严禁非正常排放</w:t>
            </w:r>
            <w:r>
              <w:rPr>
                <w:rFonts w:hint="default" w:ascii="Times New Roman" w:hAnsi="Times New Roman" w:cs="Times New Roman"/>
                <w:sz w:val="18"/>
                <w:szCs w:val="18"/>
                <w:lang w:eastAsia="zh-CN"/>
              </w:rPr>
              <w:t>；</w:t>
            </w:r>
          </w:p>
          <w:p w14:paraId="040AD56F">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③</w:t>
            </w:r>
            <w:r>
              <w:rPr>
                <w:rFonts w:hint="default" w:ascii="Times New Roman" w:hAnsi="Times New Roman" w:cs="Times New Roman"/>
                <w:sz w:val="18"/>
                <w:szCs w:val="18"/>
              </w:rPr>
              <w:t>项目投产前应</w:t>
            </w:r>
            <w:r>
              <w:rPr>
                <w:rFonts w:hint="default" w:ascii="Times New Roman" w:hAnsi="Times New Roman" w:cs="Times New Roman"/>
                <w:sz w:val="18"/>
                <w:szCs w:val="18"/>
                <w:lang w:eastAsia="zh-CN"/>
              </w:rPr>
              <w:t>按要求</w:t>
            </w:r>
            <w:r>
              <w:rPr>
                <w:rFonts w:hint="default" w:ascii="Times New Roman" w:hAnsi="Times New Roman" w:cs="Times New Roman"/>
                <w:sz w:val="18"/>
                <w:szCs w:val="18"/>
                <w:lang w:val="en-US" w:eastAsia="zh-CN"/>
              </w:rPr>
              <w:t>在全国排污许可证管理信息平台填报排污登记表，登记基本信息、</w:t>
            </w:r>
          </w:p>
          <w:p w14:paraId="564528E5">
            <w:pPr>
              <w:pStyle w:val="2"/>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污染物排放去向、执行的污染物排放标准以及采取的污染防治措施等信息；</w:t>
            </w:r>
          </w:p>
          <w:p w14:paraId="5B778DC1">
            <w:pPr>
              <w:pStyle w:val="2"/>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④</w:t>
            </w:r>
            <w:r>
              <w:rPr>
                <w:rFonts w:hint="default" w:ascii="Times New Roman" w:hAnsi="Times New Roman" w:cs="Times New Roman"/>
                <w:sz w:val="18"/>
                <w:szCs w:val="18"/>
              </w:rPr>
              <w:t>落实“三同时”制度，项目竣工后应按规范要求开展自主验收工作</w:t>
            </w:r>
            <w:r>
              <w:rPr>
                <w:rFonts w:hint="default" w:ascii="Times New Roman" w:hAnsi="Times New Roman" w:cs="Times New Roman"/>
                <w:sz w:val="18"/>
                <w:szCs w:val="18"/>
                <w:lang w:eastAsia="zh-CN"/>
              </w:rPr>
              <w:t>。</w:t>
            </w:r>
          </w:p>
        </w:tc>
      </w:tr>
    </w:tbl>
    <w:p w14:paraId="65FC7F66">
      <w:pPr>
        <w:jc w:val="both"/>
        <w:rPr>
          <w:rFonts w:hint="eastAsia" w:ascii="宋体" w:hAnsi="宋体" w:eastAsia="宋体" w:cs="宋体"/>
          <w:b w:val="0"/>
          <w:bCs w:val="0"/>
          <w:sz w:val="21"/>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20598B6">
      <w:pPr>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267960" cy="7444105"/>
            <wp:effectExtent l="0" t="0" r="8890" b="4445"/>
            <wp:docPr id="69" name="图片 69" descr="MX-3114FN_20241113_17093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MX-3114FN_20241113_170934_00"/>
                    <pic:cNvPicPr>
                      <a:picLocks noChangeAspect="1"/>
                    </pic:cNvPicPr>
                  </pic:nvPicPr>
                  <pic:blipFill>
                    <a:blip r:embed="rId25"/>
                    <a:stretch>
                      <a:fillRect/>
                    </a:stretch>
                  </pic:blipFill>
                  <pic:spPr>
                    <a:xfrm>
                      <a:off x="0" y="0"/>
                      <a:ext cx="5267960" cy="7444105"/>
                    </a:xfrm>
                    <a:prstGeom prst="rect">
                      <a:avLst/>
                    </a:prstGeom>
                  </pic:spPr>
                </pic:pic>
              </a:graphicData>
            </a:graphic>
          </wp:inline>
        </w:drawing>
      </w:r>
    </w:p>
    <w:p w14:paraId="629E4697">
      <w:pPr>
        <w:outlineLvl w:val="0"/>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附表</w:t>
      </w:r>
    </w:p>
    <w:p w14:paraId="6B5BF335">
      <w:pPr>
        <w:pStyle w:val="6"/>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建设项目污染物汇总表</w:t>
      </w:r>
    </w:p>
    <w:tbl>
      <w:tblPr>
        <w:tblStyle w:val="17"/>
        <w:tblpPr w:leftFromText="180" w:rightFromText="180" w:vertAnchor="text" w:horzAnchor="page" w:tblpX="1553" w:tblpY="277"/>
        <w:tblOverlap w:val="never"/>
        <w:tblW w:w="1390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896"/>
        <w:gridCol w:w="1570"/>
        <w:gridCol w:w="1276"/>
        <w:gridCol w:w="1701"/>
        <w:gridCol w:w="1646"/>
        <w:gridCol w:w="1674"/>
        <w:gridCol w:w="1669"/>
        <w:gridCol w:w="1229"/>
      </w:tblGrid>
      <w:tr w14:paraId="69C27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40" w:type="dxa"/>
            <w:tcBorders>
              <w:tl2br w:val="single" w:color="auto" w:sz="4" w:space="0"/>
            </w:tcBorders>
            <w:tcMar>
              <w:left w:w="28" w:type="dxa"/>
              <w:right w:w="28" w:type="dxa"/>
            </w:tcMar>
            <w:vAlign w:val="center"/>
          </w:tcPr>
          <w:p w14:paraId="67201CF8">
            <w:pPr>
              <w:pStyle w:val="24"/>
              <w:jc w:val="right"/>
              <w:rPr>
                <w:rFonts w:hint="default" w:ascii="Times New Roman" w:hAnsi="Times New Roman" w:cs="Times New Roman"/>
                <w:sz w:val="21"/>
                <w:szCs w:val="21"/>
              </w:rPr>
            </w:pPr>
            <w:bookmarkStart w:id="30" w:name="_Toc16098"/>
            <w:r>
              <w:rPr>
                <w:rFonts w:hint="default" w:ascii="Times New Roman" w:hAnsi="Times New Roman" w:cs="Times New Roman"/>
                <w:sz w:val="21"/>
                <w:szCs w:val="21"/>
              </w:rPr>
              <w:t>项目</w:t>
            </w:r>
          </w:p>
          <w:p w14:paraId="72D01D2B">
            <w:pPr>
              <w:pStyle w:val="24"/>
              <w:jc w:val="left"/>
              <w:rPr>
                <w:rFonts w:hint="default" w:ascii="Times New Roman" w:hAnsi="Times New Roman" w:cs="Times New Roman"/>
                <w:sz w:val="21"/>
                <w:szCs w:val="21"/>
              </w:rPr>
            </w:pPr>
            <w:r>
              <w:rPr>
                <w:rFonts w:hint="default" w:ascii="Times New Roman" w:hAnsi="Times New Roman" w:cs="Times New Roman"/>
                <w:sz w:val="21"/>
                <w:szCs w:val="21"/>
              </w:rPr>
              <w:t>分类</w:t>
            </w:r>
          </w:p>
        </w:tc>
        <w:tc>
          <w:tcPr>
            <w:tcW w:w="1896" w:type="dxa"/>
            <w:tcMar>
              <w:left w:w="28" w:type="dxa"/>
              <w:right w:w="28" w:type="dxa"/>
            </w:tcMar>
            <w:vAlign w:val="center"/>
          </w:tcPr>
          <w:p w14:paraId="4101E975">
            <w:pPr>
              <w:pStyle w:val="24"/>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1570" w:type="dxa"/>
            <w:tcMar>
              <w:left w:w="28" w:type="dxa"/>
              <w:right w:w="28" w:type="dxa"/>
            </w:tcMar>
            <w:vAlign w:val="center"/>
          </w:tcPr>
          <w:p w14:paraId="4F3ED933">
            <w:pPr>
              <w:pStyle w:val="24"/>
              <w:rPr>
                <w:rFonts w:hint="default" w:ascii="Times New Roman" w:hAnsi="Times New Roman" w:cs="Times New Roman"/>
                <w:sz w:val="21"/>
                <w:szCs w:val="21"/>
              </w:rPr>
            </w:pPr>
            <w:r>
              <w:rPr>
                <w:rFonts w:hint="default" w:ascii="Times New Roman" w:hAnsi="Times New Roman" w:cs="Times New Roman"/>
                <w:sz w:val="21"/>
                <w:szCs w:val="21"/>
              </w:rPr>
              <w:t>现有工程</w:t>
            </w:r>
          </w:p>
          <w:p w14:paraId="7E6103C4">
            <w:pPr>
              <w:pStyle w:val="24"/>
              <w:rPr>
                <w:rFonts w:hint="default" w:ascii="Times New Roman" w:hAnsi="Times New Roman" w:cs="Times New Roman"/>
                <w:sz w:val="21"/>
                <w:szCs w:val="21"/>
              </w:rPr>
            </w:pPr>
            <w:r>
              <w:rPr>
                <w:rFonts w:hint="default" w:ascii="Times New Roman" w:hAnsi="Times New Roman" w:cs="Times New Roman"/>
                <w:sz w:val="21"/>
                <w:szCs w:val="21"/>
              </w:rPr>
              <w:t>排放量（固体废物产生量）</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①</w:t>
            </w:r>
            <w:r>
              <w:rPr>
                <w:rFonts w:hint="default" w:ascii="Times New Roman" w:hAnsi="Times New Roman" w:cs="Times New Roman"/>
                <w:sz w:val="21"/>
                <w:szCs w:val="21"/>
              </w:rPr>
              <w:fldChar w:fldCharType="end"/>
            </w:r>
          </w:p>
        </w:tc>
        <w:tc>
          <w:tcPr>
            <w:tcW w:w="1276" w:type="dxa"/>
            <w:tcMar>
              <w:left w:w="28" w:type="dxa"/>
              <w:right w:w="28" w:type="dxa"/>
            </w:tcMar>
            <w:vAlign w:val="center"/>
          </w:tcPr>
          <w:p w14:paraId="4A03AF4E">
            <w:pPr>
              <w:pStyle w:val="24"/>
              <w:rPr>
                <w:rFonts w:hint="default" w:ascii="Times New Roman" w:hAnsi="Times New Roman" w:cs="Times New Roman"/>
                <w:sz w:val="21"/>
                <w:szCs w:val="21"/>
              </w:rPr>
            </w:pPr>
            <w:r>
              <w:rPr>
                <w:rFonts w:hint="default" w:ascii="Times New Roman" w:hAnsi="Times New Roman" w:cs="Times New Roman"/>
                <w:sz w:val="21"/>
                <w:szCs w:val="21"/>
              </w:rPr>
              <w:t>现有工程</w:t>
            </w:r>
          </w:p>
          <w:p w14:paraId="133C51D6">
            <w:pPr>
              <w:pStyle w:val="24"/>
              <w:rPr>
                <w:rFonts w:hint="default" w:ascii="Times New Roman" w:hAnsi="Times New Roman" w:cs="Times New Roman"/>
                <w:sz w:val="21"/>
                <w:szCs w:val="21"/>
              </w:rPr>
            </w:pPr>
            <w:r>
              <w:rPr>
                <w:rFonts w:hint="default" w:ascii="Times New Roman" w:hAnsi="Times New Roman" w:cs="Times New Roman"/>
                <w:sz w:val="21"/>
                <w:szCs w:val="21"/>
              </w:rPr>
              <w:t>许可排放量</w:t>
            </w:r>
          </w:p>
          <w:p w14:paraId="123F3FB4">
            <w:pPr>
              <w:pStyle w:val="24"/>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2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②</w:t>
            </w:r>
            <w:r>
              <w:rPr>
                <w:rFonts w:hint="default" w:ascii="Times New Roman" w:hAnsi="Times New Roman" w:cs="Times New Roman"/>
                <w:sz w:val="21"/>
                <w:szCs w:val="21"/>
              </w:rPr>
              <w:fldChar w:fldCharType="end"/>
            </w:r>
          </w:p>
        </w:tc>
        <w:tc>
          <w:tcPr>
            <w:tcW w:w="1701" w:type="dxa"/>
            <w:tcMar>
              <w:left w:w="28" w:type="dxa"/>
              <w:right w:w="28" w:type="dxa"/>
            </w:tcMar>
            <w:vAlign w:val="center"/>
          </w:tcPr>
          <w:p w14:paraId="7C0E802B">
            <w:pPr>
              <w:pStyle w:val="24"/>
              <w:rPr>
                <w:rFonts w:hint="default" w:ascii="Times New Roman" w:hAnsi="Times New Roman" w:cs="Times New Roman"/>
                <w:sz w:val="21"/>
                <w:szCs w:val="21"/>
              </w:rPr>
            </w:pPr>
            <w:r>
              <w:rPr>
                <w:rFonts w:hint="default" w:ascii="Times New Roman" w:hAnsi="Times New Roman" w:cs="Times New Roman"/>
                <w:sz w:val="21"/>
                <w:szCs w:val="21"/>
              </w:rPr>
              <w:t>在建工程</w:t>
            </w:r>
          </w:p>
          <w:p w14:paraId="3AF14A9F">
            <w:pPr>
              <w:pStyle w:val="24"/>
              <w:rPr>
                <w:rFonts w:hint="default" w:ascii="Times New Roman" w:hAnsi="Times New Roman" w:cs="Times New Roman"/>
                <w:sz w:val="21"/>
                <w:szCs w:val="21"/>
              </w:rPr>
            </w:pPr>
            <w:r>
              <w:rPr>
                <w:rFonts w:hint="default" w:ascii="Times New Roman" w:hAnsi="Times New Roman" w:cs="Times New Roman"/>
                <w:sz w:val="21"/>
                <w:szCs w:val="21"/>
              </w:rPr>
              <w:t>排放量（固体废物产生量）</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3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③</w:t>
            </w:r>
            <w:r>
              <w:rPr>
                <w:rFonts w:hint="default" w:ascii="Times New Roman" w:hAnsi="Times New Roman" w:cs="Times New Roman"/>
                <w:sz w:val="21"/>
                <w:szCs w:val="21"/>
              </w:rPr>
              <w:fldChar w:fldCharType="end"/>
            </w:r>
          </w:p>
        </w:tc>
        <w:tc>
          <w:tcPr>
            <w:tcW w:w="1646" w:type="dxa"/>
            <w:tcMar>
              <w:left w:w="28" w:type="dxa"/>
              <w:right w:w="28" w:type="dxa"/>
            </w:tcMar>
            <w:vAlign w:val="center"/>
          </w:tcPr>
          <w:p w14:paraId="5FD412C5">
            <w:pPr>
              <w:pStyle w:val="24"/>
              <w:rPr>
                <w:rFonts w:hint="default" w:ascii="Times New Roman" w:hAnsi="Times New Roman" w:cs="Times New Roman"/>
                <w:sz w:val="21"/>
                <w:szCs w:val="21"/>
              </w:rPr>
            </w:pPr>
            <w:r>
              <w:rPr>
                <w:rFonts w:hint="default" w:ascii="Times New Roman" w:hAnsi="Times New Roman" w:cs="Times New Roman"/>
                <w:sz w:val="21"/>
                <w:szCs w:val="21"/>
              </w:rPr>
              <w:t>本项目排放量（固体废物产生量）</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4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④</w:t>
            </w:r>
            <w:r>
              <w:rPr>
                <w:rFonts w:hint="default" w:ascii="Times New Roman" w:hAnsi="Times New Roman" w:cs="Times New Roman"/>
                <w:sz w:val="21"/>
                <w:szCs w:val="21"/>
              </w:rPr>
              <w:fldChar w:fldCharType="end"/>
            </w:r>
          </w:p>
        </w:tc>
        <w:tc>
          <w:tcPr>
            <w:tcW w:w="1674" w:type="dxa"/>
            <w:tcMar>
              <w:left w:w="28" w:type="dxa"/>
              <w:right w:w="28" w:type="dxa"/>
            </w:tcMar>
            <w:vAlign w:val="center"/>
          </w:tcPr>
          <w:p w14:paraId="38D52919">
            <w:pPr>
              <w:pStyle w:val="24"/>
              <w:rPr>
                <w:rFonts w:hint="default" w:ascii="Times New Roman" w:hAnsi="Times New Roman" w:cs="Times New Roman"/>
                <w:sz w:val="21"/>
                <w:szCs w:val="21"/>
              </w:rPr>
            </w:pPr>
            <w:r>
              <w:rPr>
                <w:rFonts w:hint="default" w:ascii="Times New Roman" w:hAnsi="Times New Roman" w:cs="Times New Roman"/>
                <w:sz w:val="21"/>
                <w:szCs w:val="21"/>
              </w:rPr>
              <w:t>以新带老削减量（新建项目不填）</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5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⑤</w:t>
            </w:r>
            <w:r>
              <w:rPr>
                <w:rFonts w:hint="default" w:ascii="Times New Roman" w:hAnsi="Times New Roman" w:cs="Times New Roman"/>
                <w:sz w:val="21"/>
                <w:szCs w:val="21"/>
              </w:rPr>
              <w:fldChar w:fldCharType="end"/>
            </w:r>
          </w:p>
        </w:tc>
        <w:tc>
          <w:tcPr>
            <w:tcW w:w="1669" w:type="dxa"/>
            <w:tcMar>
              <w:left w:w="28" w:type="dxa"/>
              <w:right w:w="28" w:type="dxa"/>
            </w:tcMar>
            <w:vAlign w:val="center"/>
          </w:tcPr>
          <w:p w14:paraId="298F89FA">
            <w:pPr>
              <w:pStyle w:val="24"/>
              <w:rPr>
                <w:rFonts w:hint="default" w:ascii="Times New Roman" w:hAnsi="Times New Roman" w:cs="Times New Roman"/>
                <w:sz w:val="21"/>
                <w:szCs w:val="21"/>
              </w:rPr>
            </w:pPr>
            <w:r>
              <w:rPr>
                <w:rFonts w:hint="default" w:ascii="Times New Roman" w:hAnsi="Times New Roman" w:cs="Times New Roman"/>
                <w:sz w:val="21"/>
                <w:szCs w:val="21"/>
              </w:rPr>
              <w:t>本项目建成后全厂排放量（固体废物产生量）</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6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⑥</w:t>
            </w:r>
            <w:r>
              <w:rPr>
                <w:rFonts w:hint="default" w:ascii="Times New Roman" w:hAnsi="Times New Roman" w:cs="Times New Roman"/>
                <w:sz w:val="21"/>
                <w:szCs w:val="21"/>
              </w:rPr>
              <w:fldChar w:fldCharType="end"/>
            </w:r>
          </w:p>
        </w:tc>
        <w:tc>
          <w:tcPr>
            <w:tcW w:w="1229" w:type="dxa"/>
            <w:tcMar>
              <w:left w:w="28" w:type="dxa"/>
              <w:right w:w="28" w:type="dxa"/>
            </w:tcMar>
            <w:vAlign w:val="center"/>
          </w:tcPr>
          <w:p w14:paraId="1E956712">
            <w:pPr>
              <w:pStyle w:val="24"/>
              <w:rPr>
                <w:rFonts w:hint="default" w:ascii="Times New Roman" w:hAnsi="Times New Roman" w:cs="Times New Roman"/>
                <w:sz w:val="21"/>
                <w:szCs w:val="21"/>
              </w:rPr>
            </w:pPr>
            <w:r>
              <w:rPr>
                <w:rFonts w:hint="default" w:ascii="Times New Roman" w:hAnsi="Times New Roman" w:cs="Times New Roman"/>
                <w:sz w:val="21"/>
                <w:szCs w:val="21"/>
              </w:rPr>
              <w:t>变化量</w:t>
            </w:r>
          </w:p>
          <w:p w14:paraId="525CA4AE">
            <w:pPr>
              <w:pStyle w:val="24"/>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7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⑦</w:t>
            </w:r>
            <w:r>
              <w:rPr>
                <w:rFonts w:hint="default" w:ascii="Times New Roman" w:hAnsi="Times New Roman" w:cs="Times New Roman"/>
                <w:sz w:val="21"/>
                <w:szCs w:val="21"/>
              </w:rPr>
              <w:fldChar w:fldCharType="end"/>
            </w:r>
          </w:p>
        </w:tc>
      </w:tr>
      <w:tr w14:paraId="23508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0" w:type="dxa"/>
            <w:vMerge w:val="restart"/>
            <w:vAlign w:val="center"/>
          </w:tcPr>
          <w:p w14:paraId="119294A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废气</w:t>
            </w:r>
          </w:p>
        </w:tc>
        <w:tc>
          <w:tcPr>
            <w:tcW w:w="1896" w:type="dxa"/>
            <w:vAlign w:val="center"/>
          </w:tcPr>
          <w:p w14:paraId="321E7B4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颗粒物（t/a）</w:t>
            </w:r>
          </w:p>
        </w:tc>
        <w:tc>
          <w:tcPr>
            <w:tcW w:w="1570" w:type="dxa"/>
            <w:vAlign w:val="center"/>
          </w:tcPr>
          <w:p w14:paraId="5B577CE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373D4354">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23AC3C3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7F7E5FC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0.2788</w:t>
            </w:r>
          </w:p>
        </w:tc>
        <w:tc>
          <w:tcPr>
            <w:tcW w:w="1674" w:type="dxa"/>
            <w:vAlign w:val="center"/>
          </w:tcPr>
          <w:p w14:paraId="5523C3DD">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079B42A9">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0.2788</w:t>
            </w:r>
          </w:p>
        </w:tc>
        <w:tc>
          <w:tcPr>
            <w:tcW w:w="1229" w:type="dxa"/>
            <w:vAlign w:val="center"/>
          </w:tcPr>
          <w:p w14:paraId="6B6905B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0.2788</w:t>
            </w:r>
          </w:p>
        </w:tc>
      </w:tr>
      <w:tr w14:paraId="03FF2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continue"/>
            <w:vAlign w:val="center"/>
          </w:tcPr>
          <w:p w14:paraId="049F56D9">
            <w:pPr>
              <w:jc w:val="center"/>
              <w:rPr>
                <w:rFonts w:hint="default" w:ascii="Times New Roman" w:hAnsi="Times New Roman" w:cs="Times New Roman"/>
                <w:sz w:val="21"/>
                <w:szCs w:val="21"/>
              </w:rPr>
            </w:pPr>
          </w:p>
        </w:tc>
        <w:tc>
          <w:tcPr>
            <w:tcW w:w="1896" w:type="dxa"/>
            <w:vAlign w:val="center"/>
          </w:tcPr>
          <w:p w14:paraId="31D36CD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非甲烷总烃（t/a）</w:t>
            </w:r>
          </w:p>
        </w:tc>
        <w:tc>
          <w:tcPr>
            <w:tcW w:w="1570" w:type="dxa"/>
            <w:vAlign w:val="center"/>
          </w:tcPr>
          <w:p w14:paraId="699BFBF2">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501F54E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1AEACB79">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7B116F5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1.2564</w:t>
            </w:r>
          </w:p>
        </w:tc>
        <w:tc>
          <w:tcPr>
            <w:tcW w:w="1674" w:type="dxa"/>
            <w:vAlign w:val="center"/>
          </w:tcPr>
          <w:p w14:paraId="08EF84B2">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3291806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1.2564</w:t>
            </w:r>
          </w:p>
        </w:tc>
        <w:tc>
          <w:tcPr>
            <w:tcW w:w="1229" w:type="dxa"/>
            <w:vAlign w:val="center"/>
          </w:tcPr>
          <w:p w14:paraId="5B23EA3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1.2564</w:t>
            </w:r>
          </w:p>
        </w:tc>
      </w:tr>
      <w:tr w14:paraId="34D6E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0" w:type="dxa"/>
            <w:vMerge w:val="continue"/>
            <w:vAlign w:val="center"/>
          </w:tcPr>
          <w:p w14:paraId="595E209D">
            <w:pPr>
              <w:jc w:val="center"/>
              <w:rPr>
                <w:rFonts w:hint="default" w:ascii="Times New Roman" w:hAnsi="Times New Roman" w:cs="Times New Roman"/>
                <w:sz w:val="21"/>
                <w:szCs w:val="21"/>
              </w:rPr>
            </w:pPr>
          </w:p>
        </w:tc>
        <w:tc>
          <w:tcPr>
            <w:tcW w:w="1896" w:type="dxa"/>
            <w:vAlign w:val="center"/>
          </w:tcPr>
          <w:p w14:paraId="240CB53D">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甲苯（t/a）</w:t>
            </w:r>
          </w:p>
        </w:tc>
        <w:tc>
          <w:tcPr>
            <w:tcW w:w="1570" w:type="dxa"/>
            <w:vAlign w:val="center"/>
          </w:tcPr>
          <w:p w14:paraId="491A4CA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05482DD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0875363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32285E26">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0.1032</w:t>
            </w:r>
          </w:p>
        </w:tc>
        <w:tc>
          <w:tcPr>
            <w:tcW w:w="1674" w:type="dxa"/>
            <w:vAlign w:val="center"/>
          </w:tcPr>
          <w:p w14:paraId="20F89C6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0BD820B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0.1032</w:t>
            </w:r>
          </w:p>
        </w:tc>
        <w:tc>
          <w:tcPr>
            <w:tcW w:w="1229" w:type="dxa"/>
            <w:vAlign w:val="center"/>
          </w:tcPr>
          <w:p w14:paraId="550DDD5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0.1032</w:t>
            </w:r>
          </w:p>
        </w:tc>
      </w:tr>
      <w:tr w14:paraId="14297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240" w:type="dxa"/>
            <w:vMerge w:val="continue"/>
            <w:vAlign w:val="center"/>
          </w:tcPr>
          <w:p w14:paraId="09AA180B">
            <w:pPr>
              <w:jc w:val="center"/>
              <w:rPr>
                <w:rFonts w:hint="default" w:ascii="Times New Roman" w:hAnsi="Times New Roman" w:cs="Times New Roman"/>
                <w:sz w:val="21"/>
                <w:szCs w:val="21"/>
              </w:rPr>
            </w:pPr>
          </w:p>
        </w:tc>
        <w:tc>
          <w:tcPr>
            <w:tcW w:w="1896" w:type="dxa"/>
            <w:vAlign w:val="center"/>
          </w:tcPr>
          <w:p w14:paraId="6AFC22C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二甲苯（t/a）</w:t>
            </w:r>
          </w:p>
        </w:tc>
        <w:tc>
          <w:tcPr>
            <w:tcW w:w="1570" w:type="dxa"/>
            <w:vAlign w:val="center"/>
          </w:tcPr>
          <w:p w14:paraId="5FBE1D7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14E184C4">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5FBA3A1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3891FB7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0.1032</w:t>
            </w:r>
          </w:p>
        </w:tc>
        <w:tc>
          <w:tcPr>
            <w:tcW w:w="1674" w:type="dxa"/>
            <w:vAlign w:val="center"/>
          </w:tcPr>
          <w:p w14:paraId="7D1484F4">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147969C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0.1032</w:t>
            </w:r>
          </w:p>
        </w:tc>
        <w:tc>
          <w:tcPr>
            <w:tcW w:w="1229" w:type="dxa"/>
            <w:vAlign w:val="center"/>
          </w:tcPr>
          <w:p w14:paraId="6015B527">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0.1032</w:t>
            </w:r>
          </w:p>
        </w:tc>
      </w:tr>
      <w:tr w14:paraId="00737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240" w:type="dxa"/>
            <w:vMerge w:val="continue"/>
            <w:vAlign w:val="center"/>
          </w:tcPr>
          <w:p w14:paraId="07039849">
            <w:pPr>
              <w:jc w:val="center"/>
              <w:rPr>
                <w:rFonts w:hint="default" w:ascii="Times New Roman" w:hAnsi="Times New Roman" w:cs="Times New Roman"/>
                <w:sz w:val="21"/>
                <w:szCs w:val="21"/>
              </w:rPr>
            </w:pPr>
          </w:p>
        </w:tc>
        <w:tc>
          <w:tcPr>
            <w:tcW w:w="1896" w:type="dxa"/>
            <w:vAlign w:val="center"/>
          </w:tcPr>
          <w:p w14:paraId="61516DA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乙酸乙酯和乙酸丁酯合计（t/a）</w:t>
            </w:r>
          </w:p>
        </w:tc>
        <w:tc>
          <w:tcPr>
            <w:tcW w:w="1570" w:type="dxa"/>
            <w:vAlign w:val="center"/>
          </w:tcPr>
          <w:p w14:paraId="3EF19E5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616AD53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328C128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2D2A62F5">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w:t>
            </w:r>
            <w:r>
              <w:rPr>
                <w:rFonts w:hint="eastAsia" w:ascii="Times New Roman" w:hAnsi="Times New Roman" w:cs="Times New Roman"/>
                <w:i w:val="0"/>
                <w:iCs w:val="0"/>
                <w:color w:val="000000"/>
                <w:kern w:val="0"/>
                <w:sz w:val="18"/>
                <w:szCs w:val="18"/>
                <w:u w:val="none"/>
                <w:lang w:val="en-US" w:eastAsia="zh-CN" w:bidi="ar"/>
              </w:rPr>
              <w:t>37</w:t>
            </w:r>
          </w:p>
        </w:tc>
        <w:tc>
          <w:tcPr>
            <w:tcW w:w="1674" w:type="dxa"/>
            <w:vAlign w:val="center"/>
          </w:tcPr>
          <w:p w14:paraId="1498F0B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37E6F7F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0.6</w:t>
            </w:r>
            <w:r>
              <w:rPr>
                <w:rFonts w:hint="eastAsia" w:ascii="Times New Roman" w:hAnsi="Times New Roman" w:cs="Times New Roman"/>
                <w:i w:val="0"/>
                <w:iCs w:val="0"/>
                <w:color w:val="000000"/>
                <w:kern w:val="0"/>
                <w:sz w:val="18"/>
                <w:szCs w:val="18"/>
                <w:u w:val="none"/>
                <w:lang w:val="en-US" w:eastAsia="zh-CN" w:bidi="ar"/>
              </w:rPr>
              <w:t>37</w:t>
            </w:r>
          </w:p>
        </w:tc>
        <w:tc>
          <w:tcPr>
            <w:tcW w:w="1229" w:type="dxa"/>
            <w:vAlign w:val="center"/>
          </w:tcPr>
          <w:p w14:paraId="084BE42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0.6</w:t>
            </w:r>
            <w:r>
              <w:rPr>
                <w:rFonts w:hint="eastAsia" w:ascii="Times New Roman" w:hAnsi="Times New Roman" w:cs="Times New Roman"/>
                <w:i w:val="0"/>
                <w:iCs w:val="0"/>
                <w:color w:val="000000"/>
                <w:kern w:val="0"/>
                <w:sz w:val="18"/>
                <w:szCs w:val="18"/>
                <w:u w:val="none"/>
                <w:lang w:val="en-US" w:eastAsia="zh-CN" w:bidi="ar"/>
              </w:rPr>
              <w:t>37</w:t>
            </w:r>
          </w:p>
        </w:tc>
      </w:tr>
      <w:tr w14:paraId="069FC4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restart"/>
            <w:vAlign w:val="center"/>
          </w:tcPr>
          <w:p w14:paraId="019F1717">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生活废水</w:t>
            </w:r>
          </w:p>
        </w:tc>
        <w:tc>
          <w:tcPr>
            <w:tcW w:w="1896" w:type="dxa"/>
            <w:vAlign w:val="center"/>
          </w:tcPr>
          <w:p w14:paraId="188D9A58">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COD</w:t>
            </w:r>
            <w:r>
              <w:rPr>
                <w:rFonts w:hint="default" w:ascii="Times New Roman" w:hAnsi="Times New Roman" w:eastAsia="宋体" w:cs="Times New Roman"/>
                <w:i w:val="0"/>
                <w:iCs w:val="0"/>
                <w:color w:val="000000"/>
                <w:kern w:val="0"/>
                <w:sz w:val="21"/>
                <w:szCs w:val="21"/>
                <w:u w:val="none"/>
                <w:vertAlign w:val="subscript"/>
                <w:lang w:val="en-US" w:eastAsia="zh-CN" w:bidi="ar"/>
              </w:rPr>
              <w:t>Cr</w:t>
            </w:r>
            <w:r>
              <w:rPr>
                <w:rFonts w:hint="default" w:ascii="Times New Roman" w:hAnsi="Times New Roman" w:eastAsia="宋体" w:cs="Times New Roman"/>
                <w:i w:val="0"/>
                <w:iCs w:val="0"/>
                <w:color w:val="000000"/>
                <w:kern w:val="0"/>
                <w:sz w:val="21"/>
                <w:szCs w:val="21"/>
                <w:u w:val="none"/>
                <w:lang w:val="en-US" w:eastAsia="zh-CN" w:bidi="ar"/>
              </w:rPr>
              <w:t>（t/a）</w:t>
            </w:r>
          </w:p>
        </w:tc>
        <w:tc>
          <w:tcPr>
            <w:tcW w:w="1570" w:type="dxa"/>
            <w:vAlign w:val="center"/>
          </w:tcPr>
          <w:p w14:paraId="1D98F14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029FBB5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7BBD579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2E49D2D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0.5936</w:t>
            </w:r>
          </w:p>
        </w:tc>
        <w:tc>
          <w:tcPr>
            <w:tcW w:w="1674" w:type="dxa"/>
            <w:vAlign w:val="center"/>
          </w:tcPr>
          <w:p w14:paraId="3EC4C37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52749AA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0.5936</w:t>
            </w:r>
          </w:p>
        </w:tc>
        <w:tc>
          <w:tcPr>
            <w:tcW w:w="1229" w:type="dxa"/>
            <w:vAlign w:val="center"/>
          </w:tcPr>
          <w:p w14:paraId="1874F804">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0.5936</w:t>
            </w:r>
          </w:p>
        </w:tc>
      </w:tr>
      <w:tr w14:paraId="69B16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continue"/>
            <w:vAlign w:val="center"/>
          </w:tcPr>
          <w:p w14:paraId="6B3A5A46">
            <w:pPr>
              <w:jc w:val="center"/>
              <w:rPr>
                <w:rFonts w:hint="default" w:ascii="Times New Roman" w:hAnsi="Times New Roman" w:cs="Times New Roman"/>
                <w:sz w:val="21"/>
                <w:szCs w:val="21"/>
              </w:rPr>
            </w:pPr>
          </w:p>
        </w:tc>
        <w:tc>
          <w:tcPr>
            <w:tcW w:w="1896" w:type="dxa"/>
            <w:vAlign w:val="center"/>
          </w:tcPr>
          <w:p w14:paraId="4CCE100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-N（t/a）</w:t>
            </w:r>
          </w:p>
        </w:tc>
        <w:tc>
          <w:tcPr>
            <w:tcW w:w="1570" w:type="dxa"/>
            <w:vAlign w:val="center"/>
          </w:tcPr>
          <w:p w14:paraId="51B2318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1BD3CBE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7DA82F7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6C4F39A7">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0.0576</w:t>
            </w:r>
          </w:p>
        </w:tc>
        <w:tc>
          <w:tcPr>
            <w:tcW w:w="1674" w:type="dxa"/>
            <w:vAlign w:val="center"/>
          </w:tcPr>
          <w:p w14:paraId="5BA7926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03F992A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0.0576</w:t>
            </w:r>
          </w:p>
        </w:tc>
        <w:tc>
          <w:tcPr>
            <w:tcW w:w="1229" w:type="dxa"/>
            <w:vAlign w:val="center"/>
          </w:tcPr>
          <w:p w14:paraId="78507C0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0.0576</w:t>
            </w:r>
          </w:p>
        </w:tc>
      </w:tr>
      <w:tr w14:paraId="5D787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restart"/>
            <w:vAlign w:val="center"/>
          </w:tcPr>
          <w:p w14:paraId="421A553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一般工业</w:t>
            </w:r>
          </w:p>
        </w:tc>
        <w:tc>
          <w:tcPr>
            <w:tcW w:w="1896" w:type="dxa"/>
            <w:vAlign w:val="center"/>
          </w:tcPr>
          <w:p w14:paraId="76FBB21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废边角料（t/a）</w:t>
            </w:r>
          </w:p>
        </w:tc>
        <w:tc>
          <w:tcPr>
            <w:tcW w:w="1570" w:type="dxa"/>
            <w:vAlign w:val="center"/>
          </w:tcPr>
          <w:p w14:paraId="7078A42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0069880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5A89CF6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62AF318B">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0.464</w:t>
            </w:r>
          </w:p>
        </w:tc>
        <w:tc>
          <w:tcPr>
            <w:tcW w:w="1674" w:type="dxa"/>
            <w:vAlign w:val="center"/>
          </w:tcPr>
          <w:p w14:paraId="46271AA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6A38D218">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0.464</w:t>
            </w:r>
          </w:p>
        </w:tc>
        <w:tc>
          <w:tcPr>
            <w:tcW w:w="1229" w:type="dxa"/>
            <w:vAlign w:val="center"/>
          </w:tcPr>
          <w:p w14:paraId="1A63774D">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0.464</w:t>
            </w:r>
          </w:p>
        </w:tc>
      </w:tr>
      <w:tr w14:paraId="64CD8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continue"/>
            <w:vAlign w:val="center"/>
          </w:tcPr>
          <w:p w14:paraId="7C80375D">
            <w:pPr>
              <w:jc w:val="center"/>
              <w:rPr>
                <w:rFonts w:hint="default" w:ascii="Times New Roman" w:hAnsi="Times New Roman" w:cs="Times New Roman"/>
                <w:sz w:val="21"/>
                <w:szCs w:val="21"/>
              </w:rPr>
            </w:pPr>
          </w:p>
        </w:tc>
        <w:tc>
          <w:tcPr>
            <w:tcW w:w="1896" w:type="dxa"/>
            <w:vAlign w:val="center"/>
          </w:tcPr>
          <w:p w14:paraId="77F73D2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木屑粉尘（t/a）</w:t>
            </w:r>
          </w:p>
        </w:tc>
        <w:tc>
          <w:tcPr>
            <w:tcW w:w="1570" w:type="dxa"/>
            <w:vAlign w:val="center"/>
          </w:tcPr>
          <w:p w14:paraId="4E754D5D">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34A9A5E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4852B9E8">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56D23D50">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0.051</w:t>
            </w:r>
          </w:p>
        </w:tc>
        <w:tc>
          <w:tcPr>
            <w:tcW w:w="1674" w:type="dxa"/>
            <w:vAlign w:val="center"/>
          </w:tcPr>
          <w:p w14:paraId="45F83FB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4885F45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0.051</w:t>
            </w:r>
          </w:p>
        </w:tc>
        <w:tc>
          <w:tcPr>
            <w:tcW w:w="1229" w:type="dxa"/>
            <w:vAlign w:val="center"/>
          </w:tcPr>
          <w:p w14:paraId="4683F96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0.051</w:t>
            </w:r>
          </w:p>
        </w:tc>
      </w:tr>
      <w:tr w14:paraId="4DB60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Align w:val="center"/>
          </w:tcPr>
          <w:p w14:paraId="6EB6E64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固体废物</w:t>
            </w:r>
          </w:p>
        </w:tc>
        <w:tc>
          <w:tcPr>
            <w:tcW w:w="1896" w:type="dxa"/>
            <w:vAlign w:val="center"/>
          </w:tcPr>
          <w:p w14:paraId="3AAF1E1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生活垃圾（t/a）</w:t>
            </w:r>
          </w:p>
        </w:tc>
        <w:tc>
          <w:tcPr>
            <w:tcW w:w="1570" w:type="dxa"/>
            <w:vAlign w:val="center"/>
          </w:tcPr>
          <w:p w14:paraId="79E9E3AD">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0F4F1E54">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3D97AD7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71B3DF7A">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674" w:type="dxa"/>
            <w:vAlign w:val="center"/>
          </w:tcPr>
          <w:p w14:paraId="780B52A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510F14BC">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229" w:type="dxa"/>
            <w:vAlign w:val="center"/>
          </w:tcPr>
          <w:p w14:paraId="2011D02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12</w:t>
            </w:r>
          </w:p>
        </w:tc>
      </w:tr>
      <w:tr w14:paraId="64F24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restart"/>
            <w:vAlign w:val="center"/>
          </w:tcPr>
          <w:p w14:paraId="07D9B15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危险废物</w:t>
            </w:r>
          </w:p>
        </w:tc>
        <w:tc>
          <w:tcPr>
            <w:tcW w:w="1896" w:type="dxa"/>
            <w:vAlign w:val="center"/>
          </w:tcPr>
          <w:p w14:paraId="3E627AF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漆渣（t/a）</w:t>
            </w:r>
          </w:p>
        </w:tc>
        <w:tc>
          <w:tcPr>
            <w:tcW w:w="1570" w:type="dxa"/>
            <w:vAlign w:val="center"/>
          </w:tcPr>
          <w:p w14:paraId="39FBAF3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7E6B541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5DAE816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78B165CE">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1.062</w:t>
            </w:r>
          </w:p>
        </w:tc>
        <w:tc>
          <w:tcPr>
            <w:tcW w:w="1674" w:type="dxa"/>
            <w:vAlign w:val="center"/>
          </w:tcPr>
          <w:p w14:paraId="3DB5A17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42D99B3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1.062</w:t>
            </w:r>
          </w:p>
        </w:tc>
        <w:tc>
          <w:tcPr>
            <w:tcW w:w="1229" w:type="dxa"/>
            <w:vAlign w:val="center"/>
          </w:tcPr>
          <w:p w14:paraId="1F167E75">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1.062</w:t>
            </w:r>
          </w:p>
        </w:tc>
      </w:tr>
      <w:tr w14:paraId="39450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continue"/>
            <w:vAlign w:val="center"/>
          </w:tcPr>
          <w:p w14:paraId="497C6171">
            <w:pPr>
              <w:jc w:val="center"/>
              <w:rPr>
                <w:rFonts w:hint="default" w:ascii="Times New Roman" w:hAnsi="Times New Roman" w:cs="Times New Roman"/>
                <w:sz w:val="21"/>
                <w:szCs w:val="21"/>
              </w:rPr>
            </w:pPr>
          </w:p>
        </w:tc>
        <w:tc>
          <w:tcPr>
            <w:tcW w:w="1896" w:type="dxa"/>
            <w:vAlign w:val="center"/>
          </w:tcPr>
          <w:p w14:paraId="45258119">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底漆打磨粉尘（t/a）</w:t>
            </w:r>
          </w:p>
        </w:tc>
        <w:tc>
          <w:tcPr>
            <w:tcW w:w="1570" w:type="dxa"/>
            <w:vAlign w:val="center"/>
          </w:tcPr>
          <w:p w14:paraId="74D110C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2FEA8F9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73468DE5">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475D8EFF">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0.092</w:t>
            </w:r>
          </w:p>
        </w:tc>
        <w:tc>
          <w:tcPr>
            <w:tcW w:w="1674" w:type="dxa"/>
            <w:vAlign w:val="center"/>
          </w:tcPr>
          <w:p w14:paraId="4475CEB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0A7982A7">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0.092</w:t>
            </w:r>
          </w:p>
        </w:tc>
        <w:tc>
          <w:tcPr>
            <w:tcW w:w="1229" w:type="dxa"/>
            <w:vAlign w:val="center"/>
          </w:tcPr>
          <w:p w14:paraId="7959F0C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0.092</w:t>
            </w:r>
          </w:p>
        </w:tc>
      </w:tr>
      <w:tr w14:paraId="330F4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0" w:type="dxa"/>
            <w:vMerge w:val="continue"/>
            <w:vAlign w:val="center"/>
          </w:tcPr>
          <w:p w14:paraId="677F592E">
            <w:pPr>
              <w:jc w:val="center"/>
              <w:rPr>
                <w:rFonts w:hint="default" w:ascii="Times New Roman" w:hAnsi="Times New Roman" w:cs="Times New Roman"/>
                <w:sz w:val="21"/>
                <w:szCs w:val="21"/>
              </w:rPr>
            </w:pPr>
          </w:p>
        </w:tc>
        <w:tc>
          <w:tcPr>
            <w:tcW w:w="1896" w:type="dxa"/>
            <w:vAlign w:val="center"/>
          </w:tcPr>
          <w:p w14:paraId="13A8DAA7">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cs="Times New Roman"/>
                <w:i w:val="0"/>
                <w:iCs w:val="0"/>
                <w:color w:val="000000"/>
                <w:kern w:val="0"/>
                <w:sz w:val="21"/>
                <w:szCs w:val="21"/>
                <w:highlight w:val="none"/>
                <w:u w:val="none"/>
                <w:lang w:val="en-US" w:eastAsia="zh-CN" w:bidi="ar"/>
              </w:rPr>
              <w:t>废活性炭</w:t>
            </w:r>
            <w:r>
              <w:rPr>
                <w:rFonts w:hint="default" w:ascii="Times New Roman" w:hAnsi="Times New Roman" w:eastAsia="宋体" w:cs="Times New Roman"/>
                <w:i w:val="0"/>
                <w:iCs w:val="0"/>
                <w:color w:val="000000"/>
                <w:kern w:val="0"/>
                <w:sz w:val="21"/>
                <w:szCs w:val="21"/>
                <w:u w:val="none"/>
                <w:lang w:val="en-US" w:eastAsia="zh-CN" w:bidi="ar"/>
              </w:rPr>
              <w:t>（t/a）</w:t>
            </w:r>
          </w:p>
        </w:tc>
        <w:tc>
          <w:tcPr>
            <w:tcW w:w="1570" w:type="dxa"/>
            <w:vAlign w:val="center"/>
          </w:tcPr>
          <w:p w14:paraId="729E07C3">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48241427">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570D240A">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13A4AF7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7.957</w:t>
            </w:r>
          </w:p>
        </w:tc>
        <w:tc>
          <w:tcPr>
            <w:tcW w:w="1674" w:type="dxa"/>
            <w:vAlign w:val="center"/>
          </w:tcPr>
          <w:p w14:paraId="1BD91156">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277D825E">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7.957</w:t>
            </w:r>
          </w:p>
        </w:tc>
        <w:tc>
          <w:tcPr>
            <w:tcW w:w="1229" w:type="dxa"/>
            <w:vAlign w:val="center"/>
          </w:tcPr>
          <w:p w14:paraId="09C5F88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7.957</w:t>
            </w:r>
          </w:p>
        </w:tc>
      </w:tr>
      <w:tr w14:paraId="712CC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gridSpan w:val="2"/>
            <w:vAlign w:val="center"/>
          </w:tcPr>
          <w:p w14:paraId="2F88BFA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原料空桶（t/a）</w:t>
            </w:r>
          </w:p>
        </w:tc>
        <w:tc>
          <w:tcPr>
            <w:tcW w:w="1570" w:type="dxa"/>
            <w:vAlign w:val="center"/>
          </w:tcPr>
          <w:p w14:paraId="3FC9F1DB">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76" w:type="dxa"/>
            <w:vAlign w:val="center"/>
          </w:tcPr>
          <w:p w14:paraId="76A62B24">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01" w:type="dxa"/>
            <w:vAlign w:val="center"/>
          </w:tcPr>
          <w:p w14:paraId="2097D4A5">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46" w:type="dxa"/>
            <w:vAlign w:val="center"/>
          </w:tcPr>
          <w:p w14:paraId="333A4EE2">
            <w:pPr>
              <w:keepNext w:val="0"/>
              <w:keepLines w:val="0"/>
              <w:widowControl/>
              <w:suppressLineNumbers w:val="0"/>
              <w:ind w:left="0" w:leftChars="0" w:firstLine="0" w:firstLineChars="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674" w:type="dxa"/>
            <w:vAlign w:val="center"/>
          </w:tcPr>
          <w:p w14:paraId="5143D280">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69" w:type="dxa"/>
            <w:vAlign w:val="center"/>
          </w:tcPr>
          <w:p w14:paraId="3FABC361">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229" w:type="dxa"/>
            <w:vAlign w:val="center"/>
          </w:tcPr>
          <w:p w14:paraId="638A4DFF">
            <w:pPr>
              <w:keepNext w:val="0"/>
              <w:keepLines w:val="0"/>
              <w:widowControl/>
              <w:suppressLineNumbers w:val="0"/>
              <w:ind w:left="0" w:leftChars="0" w:firstLine="0" w:firstLineChars="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0.05</w:t>
            </w:r>
          </w:p>
        </w:tc>
      </w:tr>
      <w:bookmarkEnd w:id="30"/>
    </w:tbl>
    <w:p w14:paraId="5D69D132">
      <w:pPr>
        <w:pStyle w:val="11"/>
        <w:spacing w:line="360" w:lineRule="auto"/>
        <w:ind w:left="0" w:leftChars="0" w:firstLine="0" w:firstLineChars="0"/>
        <w:jc w:val="left"/>
        <w:outlineLvl w:val="9"/>
        <w:rPr>
          <w:rFonts w:hint="default"/>
          <w:b/>
          <w:bCs/>
          <w:sz w:val="24"/>
          <w:szCs w:val="24"/>
          <w:lang w:val="en-US" w:eastAsia="zh-CN"/>
        </w:rPr>
      </w:pPr>
      <w:bookmarkStart w:id="31" w:name="_GoBack"/>
      <w:bookmarkEnd w:id="31"/>
    </w:p>
    <w:sectPr>
      <w:footerReference r:id="rId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Arial Black">
    <w:panose1 w:val="020B0A04020102020204"/>
    <w:charset w:val="00"/>
    <w:family w:val="auto"/>
    <w:pitch w:val="default"/>
    <w:sig w:usb0="A00002AF" w:usb1="400078FB" w:usb2="00000000" w:usb3="00000000" w:csb0="6000009F" w:csb1="DFD70000"/>
  </w:font>
  <w:font w:name="TimesNewRomanPSMT">
    <w:altName w:val="Times New Roman"/>
    <w:panose1 w:val="00000000000000000000"/>
    <w:charset w:val="00"/>
    <w:family w:val="auto"/>
    <w:pitch w:val="default"/>
    <w:sig w:usb0="00000000" w:usb1="00000000" w:usb2="00000000" w:usb3="00000000" w:csb0="00040001" w:csb1="00000000"/>
  </w:font>
  <w:font w:name="Wingdings 2">
    <w:panose1 w:val="05020102010507070707"/>
    <w:charset w:val="02"/>
    <w:family w:val="auto"/>
    <w:pitch w:val="default"/>
    <w:sig w:usb0="00000000" w:usb1="00000000" w:usb2="00000000" w:usb3="00000000" w:csb0="80000000" w:csb1="00000000"/>
  </w:font>
  <w:font w:name="Helvetica">
    <w:panose1 w:val="020B0504020202030204"/>
    <w:charset w:val="00"/>
    <w:family w:val="auto"/>
    <w:pitch w:val="default"/>
    <w:sig w:usb0="00000007"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8BE1F">
    <w:pPr>
      <w:pStyle w:val="10"/>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3</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35009FE7">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7C99E">
    <w:pPr>
      <w:pStyle w:val="10"/>
      <w:framePr w:wrap="around" w:vAnchor="text" w:hAnchor="margin" w:xAlign="center" w:y="1"/>
      <w:rPr>
        <w:rStyle w:val="20"/>
      </w:rPr>
    </w:pPr>
    <w:r>
      <w:fldChar w:fldCharType="begin"/>
    </w:r>
    <w:r>
      <w:rPr>
        <w:rStyle w:val="20"/>
      </w:rPr>
      <w:instrText xml:space="preserve">PAGE  </w:instrText>
    </w:r>
    <w:r>
      <w:fldChar w:fldCharType="end"/>
    </w:r>
  </w:p>
  <w:p w14:paraId="09F114B5">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E0A1">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F2698">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84CD3E7">
                          <w:pPr>
                            <w:pStyle w:val="1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66</w:t>
                          </w:r>
                          <w:r>
                            <w:t xml:space="preserve"> 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GjiCELTAQAApAMAAA4AAAAAAAAAAQAgAAAA&#10;IgEAAGRycy9lMm9Eb2MueG1sUEsFBgAAAAAGAAYAWQEAAGcFAAAAAA==&#10;">
              <v:fill on="f" focussize="0,0"/>
              <v:stroke on="f" weight="1.25pt"/>
              <v:imagedata o:title=""/>
              <o:lock v:ext="edit" aspectratio="f"/>
              <v:textbox inset="0mm,0mm,0mm,0mm" style="mso-fit-shape-to-text:t;">
                <w:txbxContent>
                  <w:p w14:paraId="184CD3E7">
                    <w:pPr>
                      <w:pStyle w:val="1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66</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FDAF">
    <w:pPr>
      <w:pStyle w:val="10"/>
    </w:pPr>
    <w:r>
      <w:rPr>
        <w:rFonts w:ascii="Times New Roman" w:hAnsi="Times New Roman" w:eastAsia="宋体" w:cs="黑体"/>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28947FA9">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w:t>
                          </w:r>
                          <w:r>
                            <w:rPr>
                              <w:rFonts w:hint="eastAsia"/>
                              <w:lang w:eastAsia="zh-CN"/>
                            </w:rPr>
                            <w:fldChar w:fldCharType="end"/>
                          </w:r>
                          <w:r>
                            <w:rPr>
                              <w:rFonts w:hint="eastAsia"/>
                              <w:lang w:eastAsia="zh-CN"/>
                            </w:rPr>
                            <w:t xml:space="preserve"> 页 共 </w:t>
                          </w:r>
                          <w:r>
                            <w:rPr>
                              <w:rFonts w:hint="eastAsia"/>
                              <w:lang w:val="en-US" w:eastAsia="zh-CN"/>
                            </w:rPr>
                            <w:t>66</w:t>
                          </w:r>
                          <w:r>
                            <w:rPr>
                              <w:rFonts w:hint="eastAsia"/>
                              <w:lang w:eastAsia="zh-CN"/>
                            </w:rPr>
                            <w:t xml:space="preserve"> 页</w:t>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RyrU+xQEAAJADAAAOAAAAAAAAAAEAIAAAAB8BAABkcnMvZTJvRG9jLnht&#10;bFBLBQYAAAAABgAGAFkBAABWBQAAAAA=&#10;">
              <v:fill on="f" focussize="0,0"/>
              <v:stroke on="f"/>
              <v:imagedata o:title=""/>
              <o:lock v:ext="edit" aspectratio="f"/>
              <v:textbox inset="0mm,0mm,0mm,0mm" style="mso-fit-shape-to-text:t;">
                <w:txbxContent>
                  <w:p w14:paraId="28947FA9">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w:t>
                    </w:r>
                    <w:r>
                      <w:rPr>
                        <w:rFonts w:hint="eastAsia"/>
                        <w:lang w:eastAsia="zh-CN"/>
                      </w:rPr>
                      <w:fldChar w:fldCharType="end"/>
                    </w:r>
                    <w:r>
                      <w:rPr>
                        <w:rFonts w:hint="eastAsia"/>
                        <w:lang w:eastAsia="zh-CN"/>
                      </w:rPr>
                      <w:t xml:space="preserve"> 页 共 </w:t>
                    </w:r>
                    <w:r>
                      <w:rPr>
                        <w:rFonts w:hint="eastAsia"/>
                        <w:lang w:val="en-US" w:eastAsia="zh-CN"/>
                      </w:rPr>
                      <w:t>66</w:t>
                    </w:r>
                    <w:r>
                      <w:rPr>
                        <w:rFonts w:hint="eastAsia"/>
                        <w:lang w:eastAsia="zh-CN"/>
                      </w:rPr>
                      <w:t xml:space="preserve"> 页</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7CD93"/>
    <w:multiLevelType w:val="singleLevel"/>
    <w:tmpl w:val="9007CD93"/>
    <w:lvl w:ilvl="0" w:tentative="0">
      <w:start w:val="1"/>
      <w:numFmt w:val="decimal"/>
      <w:suff w:val="nothing"/>
      <w:lvlText w:val="（%1）"/>
      <w:lvlJc w:val="left"/>
    </w:lvl>
  </w:abstractNum>
  <w:abstractNum w:abstractNumId="1">
    <w:nsid w:val="F1301E8F"/>
    <w:multiLevelType w:val="singleLevel"/>
    <w:tmpl w:val="F1301E8F"/>
    <w:lvl w:ilvl="0" w:tentative="0">
      <w:start w:val="1"/>
      <w:numFmt w:val="decimal"/>
      <w:suff w:val="nothing"/>
      <w:lvlText w:val="%1、"/>
      <w:lvlJc w:val="left"/>
    </w:lvl>
  </w:abstractNum>
  <w:abstractNum w:abstractNumId="2">
    <w:nsid w:val="00000014"/>
    <w:multiLevelType w:val="multilevel"/>
    <w:tmpl w:val="00000014"/>
    <w:lvl w:ilvl="0" w:tentative="0">
      <w:start w:val="1"/>
      <w:numFmt w:val="decimal"/>
      <w:lvlText w:val="%1"/>
      <w:lvlJc w:val="left"/>
      <w:pPr>
        <w:tabs>
          <w:tab w:val="left" w:pos="2405"/>
        </w:tabs>
        <w:ind w:left="2405" w:hanging="425"/>
      </w:pPr>
      <w:rPr>
        <w:rFonts w:hint="eastAsia"/>
      </w:rPr>
    </w:lvl>
    <w:lvl w:ilvl="1" w:tentative="0">
      <w:start w:val="1"/>
      <w:numFmt w:val="decimal"/>
      <w:lvlText w:val="%1.%2"/>
      <w:lvlJc w:val="left"/>
      <w:pPr>
        <w:tabs>
          <w:tab w:val="left" w:pos="3115"/>
        </w:tabs>
        <w:ind w:left="3115" w:hanging="567"/>
      </w:pPr>
      <w:rPr>
        <w:rFonts w:hint="eastAsia"/>
      </w:rPr>
    </w:lvl>
    <w:lvl w:ilvl="2" w:tentative="0">
      <w:start w:val="1"/>
      <w:numFmt w:val="decimal"/>
      <w:pStyle w:val="26"/>
      <w:lvlText w:val="%1.%2.%3"/>
      <w:lvlJc w:val="left"/>
      <w:pPr>
        <w:tabs>
          <w:tab w:val="left" w:pos="2547"/>
        </w:tabs>
        <w:ind w:left="2547" w:hanging="567"/>
      </w:pPr>
      <w:rPr>
        <w:rFonts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3" w:tentative="0">
      <w:start w:val="1"/>
      <w:numFmt w:val="decimal"/>
      <w:lvlText w:val="%1.%2.%3.%4"/>
      <w:lvlJc w:val="left"/>
      <w:pPr>
        <w:tabs>
          <w:tab w:val="left" w:pos="3964"/>
        </w:tabs>
        <w:ind w:left="3964" w:hanging="708"/>
      </w:pPr>
      <w:rPr>
        <w:rFonts w:hint="eastAsia"/>
      </w:rPr>
    </w:lvl>
    <w:lvl w:ilvl="4" w:tentative="0">
      <w:start w:val="1"/>
      <w:numFmt w:val="decimal"/>
      <w:lvlRestart w:val="2"/>
      <w:lvlText w:val="表%1-%2-%5"/>
      <w:lvlJc w:val="left"/>
      <w:pPr>
        <w:tabs>
          <w:tab w:val="left" w:pos="5099"/>
        </w:tabs>
        <w:ind w:left="5099" w:hanging="85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lang w:val="en-US"/>
      </w:rPr>
    </w:lvl>
    <w:lvl w:ilvl="5" w:tentative="0">
      <w:start w:val="1"/>
      <w:numFmt w:val="decimal"/>
      <w:lvlRestart w:val="1"/>
      <w:lvlText w:val="图%1.%6"/>
      <w:lvlJc w:val="left"/>
      <w:pPr>
        <w:tabs>
          <w:tab w:val="left" w:pos="5240"/>
        </w:tabs>
        <w:ind w:left="5240" w:hanging="113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6" w:tentative="0">
      <w:start w:val="1"/>
      <w:numFmt w:val="decimal"/>
      <w:lvlText w:val="%1.%2.%3.%4.%5.%6.%7"/>
      <w:lvlJc w:val="left"/>
      <w:pPr>
        <w:tabs>
          <w:tab w:val="left" w:pos="5807"/>
        </w:tabs>
        <w:ind w:left="5807" w:hanging="1276"/>
      </w:pPr>
      <w:rPr>
        <w:rFonts w:hint="eastAsia"/>
      </w:rPr>
    </w:lvl>
    <w:lvl w:ilvl="7" w:tentative="0">
      <w:start w:val="1"/>
      <w:numFmt w:val="decimal"/>
      <w:lvlText w:val="%1.%2.%3.%4.%5.%6.%7.%8"/>
      <w:lvlJc w:val="left"/>
      <w:pPr>
        <w:tabs>
          <w:tab w:val="left" w:pos="6374"/>
        </w:tabs>
        <w:ind w:left="6374" w:hanging="1418"/>
      </w:pPr>
      <w:rPr>
        <w:rFonts w:hint="eastAsia"/>
      </w:rPr>
    </w:lvl>
    <w:lvl w:ilvl="8" w:tentative="0">
      <w:start w:val="1"/>
      <w:numFmt w:val="decimal"/>
      <w:lvlText w:val="%1.%2.%3.%4.%5.%6.%7.%8.%9"/>
      <w:lvlJc w:val="left"/>
      <w:pPr>
        <w:tabs>
          <w:tab w:val="left" w:pos="7082"/>
        </w:tabs>
        <w:ind w:left="7082" w:hanging="1700"/>
      </w:pPr>
      <w:rPr>
        <w:rFonts w:hint="eastAsia"/>
      </w:rPr>
    </w:lvl>
  </w:abstractNum>
  <w:abstractNum w:abstractNumId="3">
    <w:nsid w:val="391E60E2"/>
    <w:multiLevelType w:val="singleLevel"/>
    <w:tmpl w:val="391E60E2"/>
    <w:lvl w:ilvl="0" w:tentative="0">
      <w:start w:val="1"/>
      <w:numFmt w:val="decimal"/>
      <w:suff w:val="nothing"/>
      <w:lvlText w:val="（%1）"/>
      <w:lvlJc w:val="left"/>
    </w:lvl>
  </w:abstractNum>
  <w:abstractNum w:abstractNumId="4">
    <w:nsid w:val="47F48B10"/>
    <w:multiLevelType w:val="singleLevel"/>
    <w:tmpl w:val="47F48B10"/>
    <w:lvl w:ilvl="0" w:tentative="0">
      <w:start w:val="1"/>
      <w:numFmt w:val="decimal"/>
      <w:suff w:val="nothing"/>
      <w:lvlText w:val="（%1）"/>
      <w:lvlJc w:val="left"/>
    </w:lvl>
  </w:abstractNum>
  <w:abstractNum w:abstractNumId="5">
    <w:nsid w:val="54664462"/>
    <w:multiLevelType w:val="singleLevel"/>
    <w:tmpl w:val="54664462"/>
    <w:lvl w:ilvl="0" w:tentative="0">
      <w:start w:val="1"/>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mNjg4MzQyODM3NTFlNmZjMDFhYmQyMmQxYzk0ODIifQ=="/>
    <w:docVar w:name="KSO_WPS_MARK_KEY" w:val="f18c6eec-d345-462a-87fd-49cab8c167c4"/>
  </w:docVars>
  <w:rsids>
    <w:rsidRoot w:val="00172A27"/>
    <w:rsid w:val="00814795"/>
    <w:rsid w:val="021209EE"/>
    <w:rsid w:val="02AF3901"/>
    <w:rsid w:val="0319035D"/>
    <w:rsid w:val="03391357"/>
    <w:rsid w:val="04273C91"/>
    <w:rsid w:val="047D3E3D"/>
    <w:rsid w:val="049E5D14"/>
    <w:rsid w:val="04AE1C59"/>
    <w:rsid w:val="06A343EA"/>
    <w:rsid w:val="06F33C3C"/>
    <w:rsid w:val="070B00A8"/>
    <w:rsid w:val="07667F51"/>
    <w:rsid w:val="078F7E15"/>
    <w:rsid w:val="07C5416F"/>
    <w:rsid w:val="082F1655"/>
    <w:rsid w:val="084A3084"/>
    <w:rsid w:val="088E3268"/>
    <w:rsid w:val="08F8221E"/>
    <w:rsid w:val="09A2766A"/>
    <w:rsid w:val="09F8706D"/>
    <w:rsid w:val="0ABE1F55"/>
    <w:rsid w:val="0ADF0A36"/>
    <w:rsid w:val="0AEA0FA2"/>
    <w:rsid w:val="0B097861"/>
    <w:rsid w:val="0B9C2483"/>
    <w:rsid w:val="0BF351BE"/>
    <w:rsid w:val="0CFB1CC3"/>
    <w:rsid w:val="0D151277"/>
    <w:rsid w:val="0DDE3227"/>
    <w:rsid w:val="0DE55D00"/>
    <w:rsid w:val="0F916473"/>
    <w:rsid w:val="0FDA17B0"/>
    <w:rsid w:val="10A15AE9"/>
    <w:rsid w:val="10CF2DE2"/>
    <w:rsid w:val="111B3927"/>
    <w:rsid w:val="12964708"/>
    <w:rsid w:val="12F7779B"/>
    <w:rsid w:val="13200D98"/>
    <w:rsid w:val="13627040"/>
    <w:rsid w:val="13897791"/>
    <w:rsid w:val="14323267"/>
    <w:rsid w:val="15065AFF"/>
    <w:rsid w:val="16183FA6"/>
    <w:rsid w:val="167A09C4"/>
    <w:rsid w:val="169120AE"/>
    <w:rsid w:val="17183DC9"/>
    <w:rsid w:val="172B7DE9"/>
    <w:rsid w:val="17C02C6E"/>
    <w:rsid w:val="17D93275"/>
    <w:rsid w:val="182B1F48"/>
    <w:rsid w:val="187257ED"/>
    <w:rsid w:val="19897784"/>
    <w:rsid w:val="199A3C4D"/>
    <w:rsid w:val="19EA19F0"/>
    <w:rsid w:val="1A17193B"/>
    <w:rsid w:val="1AD60B41"/>
    <w:rsid w:val="1B091070"/>
    <w:rsid w:val="1BBB116F"/>
    <w:rsid w:val="1BEE7A14"/>
    <w:rsid w:val="1D0B4721"/>
    <w:rsid w:val="1D8336D2"/>
    <w:rsid w:val="1D8C0E02"/>
    <w:rsid w:val="1D8E0577"/>
    <w:rsid w:val="1E33115F"/>
    <w:rsid w:val="1FEF6BCD"/>
    <w:rsid w:val="206108FD"/>
    <w:rsid w:val="20A97FE2"/>
    <w:rsid w:val="20AB090B"/>
    <w:rsid w:val="229F21A5"/>
    <w:rsid w:val="22D2461A"/>
    <w:rsid w:val="23F853FC"/>
    <w:rsid w:val="24532283"/>
    <w:rsid w:val="246F5419"/>
    <w:rsid w:val="24CD1C80"/>
    <w:rsid w:val="253F6392"/>
    <w:rsid w:val="2564044F"/>
    <w:rsid w:val="25F93EA6"/>
    <w:rsid w:val="261B7E4F"/>
    <w:rsid w:val="26AA5F44"/>
    <w:rsid w:val="27533777"/>
    <w:rsid w:val="278E62F6"/>
    <w:rsid w:val="27AB2D62"/>
    <w:rsid w:val="27D80FCA"/>
    <w:rsid w:val="29796243"/>
    <w:rsid w:val="298C2F76"/>
    <w:rsid w:val="29F95A00"/>
    <w:rsid w:val="2A352D65"/>
    <w:rsid w:val="2ACF1B1D"/>
    <w:rsid w:val="2B1E4365"/>
    <w:rsid w:val="2BAC5D42"/>
    <w:rsid w:val="2BE6629C"/>
    <w:rsid w:val="2D8C6AD8"/>
    <w:rsid w:val="2DB539AB"/>
    <w:rsid w:val="30C47C02"/>
    <w:rsid w:val="32CC3DB1"/>
    <w:rsid w:val="33552D94"/>
    <w:rsid w:val="34F4701C"/>
    <w:rsid w:val="34F9043A"/>
    <w:rsid w:val="35776C06"/>
    <w:rsid w:val="359C114E"/>
    <w:rsid w:val="35ED2C5D"/>
    <w:rsid w:val="364D442C"/>
    <w:rsid w:val="36AA5279"/>
    <w:rsid w:val="37460AB5"/>
    <w:rsid w:val="37477CB3"/>
    <w:rsid w:val="37C012C3"/>
    <w:rsid w:val="37C528F2"/>
    <w:rsid w:val="39004B5A"/>
    <w:rsid w:val="391F02A1"/>
    <w:rsid w:val="39205BF2"/>
    <w:rsid w:val="39640388"/>
    <w:rsid w:val="39A97500"/>
    <w:rsid w:val="3A3E4ADD"/>
    <w:rsid w:val="3ACC1421"/>
    <w:rsid w:val="3B9A1C8B"/>
    <w:rsid w:val="3C0612C8"/>
    <w:rsid w:val="3CC75F2B"/>
    <w:rsid w:val="3CDC209E"/>
    <w:rsid w:val="3D406DBE"/>
    <w:rsid w:val="3D912D0A"/>
    <w:rsid w:val="3DF26A40"/>
    <w:rsid w:val="3ED454B4"/>
    <w:rsid w:val="3F693BA4"/>
    <w:rsid w:val="3F7E78FC"/>
    <w:rsid w:val="3F817928"/>
    <w:rsid w:val="3F997971"/>
    <w:rsid w:val="3FD4436D"/>
    <w:rsid w:val="4012357B"/>
    <w:rsid w:val="40274986"/>
    <w:rsid w:val="410A37E8"/>
    <w:rsid w:val="418E3185"/>
    <w:rsid w:val="41E67FEB"/>
    <w:rsid w:val="429C4147"/>
    <w:rsid w:val="42D20077"/>
    <w:rsid w:val="439E0787"/>
    <w:rsid w:val="45C94E39"/>
    <w:rsid w:val="46937EE4"/>
    <w:rsid w:val="4710744F"/>
    <w:rsid w:val="478B4BC5"/>
    <w:rsid w:val="47CD6B63"/>
    <w:rsid w:val="47E36768"/>
    <w:rsid w:val="481D3AED"/>
    <w:rsid w:val="48EB1FBC"/>
    <w:rsid w:val="49CB7270"/>
    <w:rsid w:val="4A7F246D"/>
    <w:rsid w:val="4AC06CA0"/>
    <w:rsid w:val="4B9E40F4"/>
    <w:rsid w:val="4BCA3C13"/>
    <w:rsid w:val="4C327CBE"/>
    <w:rsid w:val="4CEE1E37"/>
    <w:rsid w:val="4E781113"/>
    <w:rsid w:val="4F794315"/>
    <w:rsid w:val="503E5940"/>
    <w:rsid w:val="50A439BA"/>
    <w:rsid w:val="522A6E9C"/>
    <w:rsid w:val="52664848"/>
    <w:rsid w:val="52FB3500"/>
    <w:rsid w:val="538D0E7A"/>
    <w:rsid w:val="53EC0CB4"/>
    <w:rsid w:val="546D380B"/>
    <w:rsid w:val="550348EE"/>
    <w:rsid w:val="55D32823"/>
    <w:rsid w:val="55DF4A13"/>
    <w:rsid w:val="5613791B"/>
    <w:rsid w:val="56335B33"/>
    <w:rsid w:val="56556BF5"/>
    <w:rsid w:val="56991965"/>
    <w:rsid w:val="574E43B5"/>
    <w:rsid w:val="58AD7E9D"/>
    <w:rsid w:val="58F42521"/>
    <w:rsid w:val="595C77FF"/>
    <w:rsid w:val="5BD7640B"/>
    <w:rsid w:val="5C5A7743"/>
    <w:rsid w:val="5C5C1890"/>
    <w:rsid w:val="5D325D70"/>
    <w:rsid w:val="5D362E7F"/>
    <w:rsid w:val="5D572664"/>
    <w:rsid w:val="5D7F0A2F"/>
    <w:rsid w:val="5DC715F7"/>
    <w:rsid w:val="5E3A4EC9"/>
    <w:rsid w:val="5EB54BA1"/>
    <w:rsid w:val="5EF601AD"/>
    <w:rsid w:val="5F426012"/>
    <w:rsid w:val="5F773F0E"/>
    <w:rsid w:val="5FB1348A"/>
    <w:rsid w:val="60F65306"/>
    <w:rsid w:val="6178377F"/>
    <w:rsid w:val="61A079D7"/>
    <w:rsid w:val="61A75566"/>
    <w:rsid w:val="61C76665"/>
    <w:rsid w:val="62A274F4"/>
    <w:rsid w:val="62BA109A"/>
    <w:rsid w:val="62CE4B90"/>
    <w:rsid w:val="639D1A41"/>
    <w:rsid w:val="64244B64"/>
    <w:rsid w:val="64460353"/>
    <w:rsid w:val="64562227"/>
    <w:rsid w:val="64C01EB3"/>
    <w:rsid w:val="64DD5E04"/>
    <w:rsid w:val="655C6080"/>
    <w:rsid w:val="65682B9A"/>
    <w:rsid w:val="66641333"/>
    <w:rsid w:val="68257F58"/>
    <w:rsid w:val="686F5D32"/>
    <w:rsid w:val="68EE6366"/>
    <w:rsid w:val="691C6622"/>
    <w:rsid w:val="6B27219C"/>
    <w:rsid w:val="6BD22E4D"/>
    <w:rsid w:val="6C293FE6"/>
    <w:rsid w:val="6D3A321E"/>
    <w:rsid w:val="6D54763D"/>
    <w:rsid w:val="6D5B1816"/>
    <w:rsid w:val="6DAB5BDF"/>
    <w:rsid w:val="6E467089"/>
    <w:rsid w:val="6E822D73"/>
    <w:rsid w:val="6E930AEE"/>
    <w:rsid w:val="6EAF4BEF"/>
    <w:rsid w:val="6ED50C51"/>
    <w:rsid w:val="6F3277A9"/>
    <w:rsid w:val="6F6A5765"/>
    <w:rsid w:val="6F761A2D"/>
    <w:rsid w:val="6F963F3C"/>
    <w:rsid w:val="6FF429E5"/>
    <w:rsid w:val="70183205"/>
    <w:rsid w:val="71A750E2"/>
    <w:rsid w:val="72853001"/>
    <w:rsid w:val="72DD023C"/>
    <w:rsid w:val="731276AC"/>
    <w:rsid w:val="73294708"/>
    <w:rsid w:val="7354002C"/>
    <w:rsid w:val="737427E7"/>
    <w:rsid w:val="74546547"/>
    <w:rsid w:val="74602D6B"/>
    <w:rsid w:val="74BC1F36"/>
    <w:rsid w:val="74C8718E"/>
    <w:rsid w:val="74CD7CDC"/>
    <w:rsid w:val="75375843"/>
    <w:rsid w:val="75BB0FF6"/>
    <w:rsid w:val="77467190"/>
    <w:rsid w:val="78BD0D32"/>
    <w:rsid w:val="7915663C"/>
    <w:rsid w:val="795477B9"/>
    <w:rsid w:val="79870507"/>
    <w:rsid w:val="79E203AB"/>
    <w:rsid w:val="7A235373"/>
    <w:rsid w:val="7A902D98"/>
    <w:rsid w:val="7B5311F5"/>
    <w:rsid w:val="7C395B0D"/>
    <w:rsid w:val="7D6C741B"/>
    <w:rsid w:val="7E130DE0"/>
    <w:rsid w:val="7F0E153E"/>
    <w:rsid w:val="7F4106BA"/>
    <w:rsid w:val="7F65046A"/>
    <w:rsid w:val="7FEB72F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ind w:firstLine="600" w:firstLineChars="20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0"/>
    <w:pPr>
      <w:keepNext/>
      <w:keepLines/>
      <w:spacing w:before="340" w:beforeAutospacing="0" w:after="330" w:afterAutospacing="0" w:line="360" w:lineRule="auto"/>
      <w:jc w:val="center"/>
      <w:outlineLvl w:val="0"/>
    </w:pPr>
    <w:rPr>
      <w:rFonts w:ascii="宋体" w:hAnsi="宋体" w:eastAsia="黑体"/>
      <w:kern w:val="44"/>
      <w:sz w:val="30"/>
    </w:rPr>
  </w:style>
  <w:style w:type="paragraph" w:styleId="4">
    <w:name w:val="heading 2"/>
    <w:basedOn w:val="1"/>
    <w:next w:val="1"/>
    <w:qFormat/>
    <w:uiPriority w:val="1"/>
    <w:pPr>
      <w:ind w:left="1683"/>
      <w:outlineLvl w:val="1"/>
    </w:pPr>
    <w:rPr>
      <w:rFonts w:ascii="宋体" w:hAnsi="宋体" w:eastAsia="宋体" w:cs="宋体"/>
      <w:b/>
      <w:bCs/>
      <w:sz w:val="24"/>
      <w:szCs w:val="24"/>
    </w:rPr>
  </w:style>
  <w:style w:type="paragraph" w:styleId="5">
    <w:name w:val="heading 3"/>
    <w:basedOn w:val="1"/>
    <w:next w:val="1"/>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semiHidden/>
    <w:qFormat/>
    <w:uiPriority w:val="0"/>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napToGrid w:val="0"/>
      <w:spacing w:beforeLines="0" w:line="240" w:lineRule="auto"/>
      <w:ind w:right="0" w:firstLine="0" w:firstLineChars="0"/>
    </w:pPr>
    <w:rPr>
      <w:rFonts w:ascii="宋体" w:hAnsi="宋体"/>
      <w:kern w:val="0"/>
      <w:szCs w:val="21"/>
    </w:rPr>
  </w:style>
  <w:style w:type="paragraph" w:styleId="6">
    <w:name w:val="Normal Indent"/>
    <w:basedOn w:val="1"/>
    <w:next w:val="1"/>
    <w:qFormat/>
    <w:uiPriority w:val="0"/>
    <w:pPr>
      <w:ind w:firstLine="420" w:firstLineChars="200"/>
    </w:pPr>
  </w:style>
  <w:style w:type="paragraph" w:styleId="7">
    <w:name w:val="annotation text"/>
    <w:basedOn w:val="1"/>
    <w:semiHidden/>
    <w:qFormat/>
    <w:uiPriority w:val="0"/>
    <w:pPr>
      <w:jc w:val="left"/>
    </w:pPr>
    <w:rPr>
      <w:kern w:val="0"/>
      <w:sz w:val="24"/>
      <w:szCs w:val="20"/>
    </w:rPr>
  </w:style>
  <w:style w:type="paragraph" w:styleId="8">
    <w:name w:val="Body Text Indent"/>
    <w:basedOn w:val="1"/>
    <w:next w:val="1"/>
    <w:qFormat/>
    <w:uiPriority w:val="0"/>
    <w:pPr>
      <w:spacing w:after="120"/>
      <w:ind w:left="420" w:leftChars="200"/>
    </w:pPr>
    <w:rPr>
      <w:kern w:val="0"/>
      <w:sz w:val="24"/>
      <w:szCs w:val="20"/>
    </w:rPr>
  </w:style>
  <w:style w:type="paragraph" w:styleId="9">
    <w:name w:val="Block Text"/>
    <w:basedOn w:val="1"/>
    <w:qFormat/>
    <w:uiPriority w:val="0"/>
    <w:pPr>
      <w:widowControl/>
      <w:spacing w:line="440" w:lineRule="exact"/>
      <w:ind w:left="113" w:right="113" w:firstLine="567"/>
    </w:pPr>
    <w:rPr>
      <w:kern w:val="0"/>
      <w:sz w:val="28"/>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envelope return"/>
    <w:basedOn w:val="1"/>
    <w:qFormat/>
    <w:uiPriority w:val="0"/>
    <w:pPr>
      <w:snapToGrid w:val="0"/>
    </w:pPr>
    <w:rPr>
      <w:rFonts w:ascii="Arial" w:hAnsi="Arial"/>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4">
    <w:name w:val="Title"/>
    <w:basedOn w:val="1"/>
    <w:next w:val="1"/>
    <w:qFormat/>
    <w:uiPriority w:val="99"/>
    <w:pPr>
      <w:spacing w:before="240" w:after="60"/>
      <w:jc w:val="center"/>
      <w:outlineLvl w:val="0"/>
    </w:pPr>
    <w:rPr>
      <w:rFonts w:ascii="Cambria" w:hAnsi="Cambria" w:eastAsia="方正小标宋简体" w:cs="Cambria"/>
      <w:kern w:val="0"/>
      <w:sz w:val="36"/>
      <w:szCs w:val="36"/>
    </w:rPr>
  </w:style>
  <w:style w:type="paragraph" w:styleId="15">
    <w:name w:val="Body Text First Indent"/>
    <w:basedOn w:val="2"/>
    <w:next w:val="1"/>
    <w:qFormat/>
    <w:uiPriority w:val="0"/>
    <w:pPr>
      <w:spacing w:line="240" w:lineRule="auto"/>
      <w:ind w:firstLine="600" w:firstLineChars="200"/>
    </w:pPr>
    <w:rPr>
      <w:sz w:val="21"/>
    </w:rPr>
  </w:style>
  <w:style w:type="paragraph" w:styleId="16">
    <w:name w:val="Body Text First Indent 2"/>
    <w:basedOn w:val="8"/>
    <w:next w:val="15"/>
    <w:qFormat/>
    <w:uiPriority w:val="0"/>
    <w:pPr>
      <w:ind w:left="0" w:leftChars="0" w:firstLine="600" w:firstLineChars="200"/>
      <w:jc w:val="both"/>
    </w:pPr>
    <w:rPr>
      <w:sz w:val="21"/>
      <w:szCs w:val="21"/>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Emphasis"/>
    <w:basedOn w:val="19"/>
    <w:qFormat/>
    <w:uiPriority w:val="0"/>
    <w:rPr>
      <w:i/>
    </w:rPr>
  </w:style>
  <w:style w:type="paragraph" w:customStyle="1" w:styleId="22">
    <w:name w:val="一级aaa"/>
    <w:basedOn w:val="3"/>
    <w:next w:val="1"/>
    <w:qFormat/>
    <w:uiPriority w:val="0"/>
    <w:pPr>
      <w:widowControl w:val="0"/>
      <w:tabs>
        <w:tab w:val="left" w:pos="720"/>
      </w:tabs>
      <w:adjustRightInd w:val="0"/>
      <w:snapToGrid w:val="0"/>
      <w:spacing w:beforeLines="100" w:afterLines="100" w:line="360" w:lineRule="auto"/>
    </w:pPr>
    <w:rPr>
      <w:kern w:val="0"/>
      <w:sz w:val="32"/>
      <w:szCs w:val="20"/>
    </w:rPr>
  </w:style>
  <w:style w:type="paragraph" w:customStyle="1" w:styleId="23">
    <w:name w:val="正文内容"/>
    <w:basedOn w:val="1"/>
    <w:qFormat/>
    <w:uiPriority w:val="0"/>
    <w:pPr>
      <w:widowControl/>
      <w:adjustRightInd w:val="0"/>
      <w:snapToGrid w:val="0"/>
      <w:spacing w:line="240" w:lineRule="auto"/>
      <w:ind w:firstLine="0" w:firstLineChars="0"/>
      <w:jc w:val="both"/>
    </w:pPr>
    <w:rPr>
      <w:kern w:val="0"/>
      <w:szCs w:val="20"/>
    </w:rPr>
  </w:style>
  <w:style w:type="paragraph" w:customStyle="1" w:styleId="24">
    <w:name w:val="表格固定文字"/>
    <w:basedOn w:val="1"/>
    <w:qFormat/>
    <w:uiPriority w:val="0"/>
    <w:pPr>
      <w:spacing w:line="240" w:lineRule="auto"/>
      <w:ind w:firstLine="0" w:firstLineChars="0"/>
      <w:jc w:val="center"/>
    </w:pPr>
    <w:rPr>
      <w:rFonts w:ascii="宋体" w:hAnsi="宋体"/>
      <w:sz w:val="18"/>
      <w:szCs w:val="18"/>
    </w:rPr>
  </w:style>
  <w:style w:type="paragraph" w:customStyle="1" w:styleId="25">
    <w:name w:val="0正文"/>
    <w:basedOn w:val="8"/>
    <w:unhideWhenUsed/>
    <w:qFormat/>
    <w:uiPriority w:val="0"/>
    <w:pPr>
      <w:widowControl w:val="0"/>
      <w:spacing w:line="360" w:lineRule="auto"/>
      <w:ind w:firstLine="720" w:firstLineChars="200"/>
    </w:pPr>
    <w:rPr>
      <w:sz w:val="24"/>
      <w:szCs w:val="22"/>
      <w:lang w:val="en-US" w:eastAsia="zh-CN" w:bidi="ar-SA"/>
    </w:rPr>
  </w:style>
  <w:style w:type="paragraph" w:customStyle="1" w:styleId="26">
    <w:name w:val="0章节2"/>
    <w:basedOn w:val="1"/>
    <w:qFormat/>
    <w:uiPriority w:val="0"/>
    <w:pPr>
      <w:numPr>
        <w:ilvl w:val="2"/>
        <w:numId w:val="1"/>
      </w:numPr>
      <w:tabs>
        <w:tab w:val="left" w:pos="900"/>
        <w:tab w:val="left" w:pos="2405"/>
        <w:tab w:val="clear" w:pos="2547"/>
      </w:tabs>
      <w:spacing w:beforeLines="50" w:afterLines="50"/>
      <w:outlineLvl w:val="2"/>
    </w:pPr>
    <w:rPr>
      <w:rFonts w:ascii="Times New Roman" w:hAnsi="Times New Roman" w:eastAsia="楷体_GB2312" w:cs="Times New Roman"/>
      <w:b/>
      <w:kern w:val="2"/>
      <w:sz w:val="28"/>
      <w:szCs w:val="28"/>
    </w:rPr>
  </w:style>
  <w:style w:type="paragraph" w:customStyle="1" w:styleId="27">
    <w:name w:val="zhang正文"/>
    <w:basedOn w:val="8"/>
    <w:qFormat/>
    <w:uiPriority w:val="0"/>
    <w:pPr>
      <w:widowControl w:val="0"/>
      <w:autoSpaceDE w:val="0"/>
      <w:autoSpaceDN w:val="0"/>
      <w:adjustRightInd w:val="0"/>
      <w:snapToGrid w:val="0"/>
      <w:spacing w:line="500" w:lineRule="exact"/>
      <w:ind w:firstLine="539"/>
      <w:jc w:val="both"/>
      <w:textAlignment w:val="baseline"/>
    </w:pPr>
    <w:rPr>
      <w:sz w:val="28"/>
    </w:rPr>
  </w:style>
  <w:style w:type="paragraph" w:customStyle="1" w:styleId="28">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29">
    <w:name w:val="凯源表格文字"/>
    <w:basedOn w:val="1"/>
    <w:next w:val="1"/>
    <w:qFormat/>
    <w:uiPriority w:val="0"/>
    <w:pPr>
      <w:spacing w:line="240" w:lineRule="auto"/>
      <w:ind w:firstLine="0" w:firstLineChars="0"/>
      <w:jc w:val="center"/>
    </w:pPr>
    <w:rPr>
      <w:rFonts w:ascii="Times New Roman" w:hAnsi="Times New Roman"/>
      <w:sz w:val="21"/>
    </w:rPr>
  </w:style>
  <w:style w:type="paragraph" w:customStyle="1" w:styleId="30">
    <w:name w:val="G"/>
    <w:next w:val="1"/>
    <w:qFormat/>
    <w:uiPriority w:val="0"/>
    <w:pPr>
      <w:widowControl w:val="0"/>
      <w:spacing w:line="240" w:lineRule="auto"/>
      <w:ind w:firstLine="200" w:firstLineChars="200"/>
      <w:jc w:val="both"/>
      <w:textAlignment w:val="center"/>
    </w:pPr>
    <w:rPr>
      <w:rFonts w:ascii="Times New Roman" w:hAnsi="Times New Roman" w:eastAsia="宋体" w:cs="Times New Roman"/>
      <w:color w:val="000000"/>
      <w:sz w:val="21"/>
      <w:lang w:val="en-US" w:eastAsia="zh-CN" w:bidi="ar-SA"/>
    </w:rPr>
  </w:style>
  <w:style w:type="paragraph" w:customStyle="1" w:styleId="31">
    <w:name w:val="Table Paragraph"/>
    <w:basedOn w:val="1"/>
    <w:qFormat/>
    <w:uiPriority w:val="1"/>
    <w:pPr>
      <w:autoSpaceDE w:val="0"/>
      <w:autoSpaceDN w:val="0"/>
      <w:adjustRightInd w:val="0"/>
      <w:jc w:val="left"/>
    </w:pPr>
    <w:rPr>
      <w:rFonts w:ascii="Times New Roman" w:hAnsi="Times New Roman"/>
      <w:color w:val="auto"/>
      <w:kern w:val="0"/>
      <w:sz w:val="24"/>
      <w:szCs w:val="24"/>
    </w:rPr>
  </w:style>
  <w:style w:type="paragraph" w:customStyle="1" w:styleId="32">
    <w:name w:val="表格小4号居中"/>
    <w:next w:val="1"/>
    <w:qFormat/>
    <w:uiPriority w:val="0"/>
    <w:pPr>
      <w:widowControl w:val="0"/>
      <w:tabs>
        <w:tab w:val="right" w:pos="8640"/>
        <w:tab w:val="right" w:pos="8784"/>
      </w:tabs>
      <w:adjustRightInd w:val="0"/>
      <w:snapToGrid w:val="0"/>
      <w:jc w:val="center"/>
    </w:pPr>
    <w:rPr>
      <w:rFonts w:ascii="Times New Roman" w:hAnsi="Times New Roman" w:eastAsia="宋体" w:cs="Times New Roman"/>
      <w:iCs/>
      <w:sz w:val="24"/>
      <w:szCs w:val="30"/>
      <w:lang w:val="en-US" w:eastAsia="zh-CN" w:bidi="ar-SA"/>
    </w:rPr>
  </w:style>
  <w:style w:type="paragraph" w:customStyle="1" w:styleId="33">
    <w:name w:val="图表标题"/>
    <w:basedOn w:val="1"/>
    <w:next w:val="34"/>
    <w:qFormat/>
    <w:uiPriority w:val="0"/>
    <w:pPr>
      <w:adjustRightInd w:val="0"/>
      <w:snapToGrid w:val="0"/>
      <w:spacing w:line="460" w:lineRule="exact"/>
      <w:textAlignment w:val="baseline"/>
    </w:pPr>
    <w:rPr>
      <w:rFonts w:ascii="黑体" w:hAnsi="宋体" w:eastAsia="黑体"/>
      <w:bCs/>
      <w:color w:val="000000"/>
      <w:kern w:val="0"/>
      <w:sz w:val="24"/>
    </w:rPr>
  </w:style>
  <w:style w:type="paragraph" w:customStyle="1" w:styleId="34">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35">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6">
    <w:name w:val="次标题"/>
    <w:basedOn w:val="1"/>
    <w:unhideWhenUsed/>
    <w:qFormat/>
    <w:uiPriority w:val="0"/>
    <w:pPr>
      <w:ind w:firstLine="482"/>
    </w:pPr>
    <w:rPr>
      <w:b/>
    </w:rPr>
  </w:style>
  <w:style w:type="paragraph" w:customStyle="1" w:styleId="37">
    <w:name w:val="[正文格式]"/>
    <w:basedOn w:val="1"/>
    <w:qFormat/>
    <w:uiPriority w:val="0"/>
    <w:pPr>
      <w:widowControl w:val="0"/>
      <w:spacing w:line="440" w:lineRule="exact"/>
      <w:ind w:firstLine="500"/>
      <w:jc w:val="both"/>
    </w:pPr>
    <w:rPr>
      <w:kern w:val="2"/>
      <w:sz w:val="25"/>
    </w:rPr>
  </w:style>
  <w:style w:type="paragraph" w:customStyle="1" w:styleId="38">
    <w:name w:val="表格文字"/>
    <w:basedOn w:val="2"/>
    <w:next w:val="2"/>
    <w:qFormat/>
    <w:uiPriority w:val="0"/>
    <w:pPr>
      <w:adjustRightInd w:val="0"/>
      <w:snapToGrid w:val="0"/>
      <w:jc w:val="center"/>
    </w:pPr>
    <w:rPr>
      <w:rFonts w:ascii="仿宋_GB2312" w:hAnsi="Arial Black" w:eastAsia="仿宋_GB2312"/>
      <w:kern w:val="44"/>
      <w:sz w:val="24"/>
      <w:szCs w:val="20"/>
    </w:rPr>
  </w:style>
  <w:style w:type="paragraph" w:customStyle="1" w:styleId="39">
    <w:name w:val="表内容"/>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40">
    <w:name w:val="GS00     报告正文"/>
    <w:basedOn w:val="1"/>
    <w:qFormat/>
    <w:uiPriority w:val="0"/>
    <w:pPr>
      <w:adjustRightInd w:val="0"/>
      <w:snapToGrid w:val="0"/>
      <w:spacing w:line="360" w:lineRule="auto"/>
      <w:ind w:firstLine="200" w:firstLineChars="200"/>
    </w:pPr>
    <w:rPr>
      <w:rFonts w:eastAsia="宋体"/>
      <w:sz w:val="21"/>
      <w:szCs w:val="28"/>
    </w:rPr>
  </w:style>
  <w:style w:type="paragraph" w:customStyle="1" w:styleId="41">
    <w:name w:val="3表内文字"/>
    <w:basedOn w:val="1"/>
    <w:qFormat/>
    <w:uiPriority w:val="0"/>
    <w:pPr>
      <w:spacing w:line="240" w:lineRule="auto"/>
      <w:jc w:val="center"/>
    </w:pPr>
    <w:rPr>
      <w:color w:val="000000"/>
      <w:sz w:val="18"/>
      <w:szCs w:val="21"/>
    </w:rPr>
  </w:style>
  <w:style w:type="paragraph" w:customStyle="1" w:styleId="42">
    <w:name w:val="MK00     报告正文"/>
    <w:basedOn w:val="1"/>
    <w:qFormat/>
    <w:uiPriority w:val="0"/>
    <w:pPr>
      <w:spacing w:line="360" w:lineRule="auto"/>
      <w:ind w:firstLine="200" w:firstLineChars="200"/>
      <w:jc w:val="left"/>
    </w:pPr>
    <w:rPr>
      <w:rFonts w:ascii="宋体" w:hAnsi="宋体" w:eastAsia="仿宋_GB2312"/>
      <w:sz w:val="28"/>
      <w:szCs w:val="28"/>
    </w:rPr>
  </w:style>
  <w:style w:type="paragraph" w:customStyle="1" w:styleId="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个人  标题2"/>
    <w:basedOn w:val="1"/>
    <w:qFormat/>
    <w:uiPriority w:val="0"/>
    <w:pPr>
      <w:ind w:firstLine="0" w:firstLineChars="0"/>
      <w:outlineLvl w:val="1"/>
    </w:pPr>
    <w:rPr>
      <w:b/>
      <w:sz w:val="30"/>
    </w:rPr>
  </w:style>
  <w:style w:type="character" w:customStyle="1" w:styleId="45">
    <w:name w:val="fontstyle01"/>
    <w:basedOn w:val="19"/>
    <w:qFormat/>
    <w:uiPriority w:val="0"/>
    <w:rPr>
      <w:rFonts w:ascii="TimesNewRomanPSMT" w:hAnsi="TimesNewRomanPSMT" w:eastAsia="TimesNewRomanPSMT" w:cs="TimesNewRomanPSMT"/>
      <w:color w:val="000000"/>
      <w:sz w:val="24"/>
      <w:szCs w:val="24"/>
    </w:rPr>
  </w:style>
  <w:style w:type="character" w:customStyle="1" w:styleId="46">
    <w:name w:val="fontstyle21"/>
    <w:basedOn w:val="19"/>
    <w:qFormat/>
    <w:uiPriority w:val="0"/>
    <w:rPr>
      <w:rFonts w:ascii="宋体" w:hAnsi="宋体" w:eastAsia="宋体" w:cs="宋体"/>
      <w:color w:val="000000"/>
      <w:sz w:val="24"/>
      <w:szCs w:val="24"/>
    </w:rPr>
  </w:style>
  <w:style w:type="paragraph" w:customStyle="1" w:styleId="47">
    <w:name w:val="正文文本缩进 21"/>
    <w:basedOn w:val="1"/>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paragraph" w:customStyle="1" w:styleId="48">
    <w:name w:val="表头aaaa"/>
    <w:basedOn w:val="1"/>
    <w:next w:val="1"/>
    <w:qFormat/>
    <w:uiPriority w:val="0"/>
    <w:pPr>
      <w:widowControl w:val="0"/>
      <w:adjustRightInd w:val="0"/>
      <w:snapToGrid w:val="0"/>
      <w:spacing w:line="360" w:lineRule="auto"/>
      <w:jc w:val="center"/>
    </w:pPr>
    <w:rPr>
      <w:b/>
      <w:sz w:val="24"/>
    </w:rPr>
  </w:style>
  <w:style w:type="character" w:customStyle="1" w:styleId="49">
    <w:name w:val="font21"/>
    <w:basedOn w:val="19"/>
    <w:qFormat/>
    <w:uiPriority w:val="0"/>
    <w:rPr>
      <w:rFonts w:hint="default" w:ascii="Times New Roman" w:hAnsi="Times New Roman" w:cs="Times New Roman"/>
      <w:color w:val="000000"/>
      <w:sz w:val="21"/>
      <w:szCs w:val="21"/>
      <w:u w:val="none"/>
    </w:rPr>
  </w:style>
  <w:style w:type="character" w:customStyle="1" w:styleId="50">
    <w:name w:val="font31"/>
    <w:basedOn w:val="19"/>
    <w:qFormat/>
    <w:uiPriority w:val="0"/>
    <w:rPr>
      <w:rFonts w:hint="eastAsia" w:ascii="宋体" w:hAnsi="宋体" w:eastAsia="宋体" w:cs="宋体"/>
      <w:color w:val="000000"/>
      <w:sz w:val="21"/>
      <w:szCs w:val="21"/>
      <w:u w:val="none"/>
    </w:rPr>
  </w:style>
  <w:style w:type="table" w:customStyle="1" w:styleId="51">
    <w:name w:val="Table Normal"/>
    <w:semiHidden/>
    <w:unhideWhenUsed/>
    <w:qFormat/>
    <w:uiPriority w:val="2"/>
    <w:tblPr>
      <w:tblCellMar>
        <w:top w:w="0" w:type="dxa"/>
        <w:left w:w="0" w:type="dxa"/>
        <w:bottom w:w="0" w:type="dxa"/>
        <w:right w:w="0" w:type="dxa"/>
      </w:tblCellMar>
    </w:tblPr>
  </w:style>
  <w:style w:type="character" w:customStyle="1" w:styleId="52">
    <w:name w:val="font01"/>
    <w:basedOn w:val="19"/>
    <w:qFormat/>
    <w:uiPriority w:val="0"/>
    <w:rPr>
      <w:rFonts w:hint="eastAsia" w:ascii="宋体" w:hAnsi="宋体" w:eastAsia="宋体" w:cs="宋体"/>
      <w:color w:val="000000"/>
      <w:sz w:val="22"/>
      <w:szCs w:val="22"/>
      <w:u w:val="none"/>
    </w:rPr>
  </w:style>
  <w:style w:type="character" w:customStyle="1" w:styleId="53">
    <w:name w:val="font11"/>
    <w:basedOn w:val="19"/>
    <w:qFormat/>
    <w:uiPriority w:val="0"/>
    <w:rPr>
      <w:rFonts w:hint="default" w:ascii="Times New Roman" w:hAnsi="Times New Roman" w:cs="Times New Roman"/>
      <w:color w:val="000000"/>
      <w:sz w:val="22"/>
      <w:szCs w:val="22"/>
      <w:u w:val="none"/>
    </w:rPr>
  </w:style>
  <w:style w:type="character" w:customStyle="1" w:styleId="54">
    <w:name w:val="font41"/>
    <w:basedOn w:val="19"/>
    <w:qFormat/>
    <w:uiPriority w:val="0"/>
    <w:rPr>
      <w:rFonts w:hint="eastAsia" w:ascii="宋体" w:hAnsi="宋体" w:eastAsia="宋体" w:cs="宋体"/>
      <w:color w:val="000000"/>
      <w:sz w:val="21"/>
      <w:szCs w:val="21"/>
      <w:u w:val="none"/>
    </w:rPr>
  </w:style>
  <w:style w:type="paragraph" w:customStyle="1" w:styleId="55">
    <w:name w:val="样式 样式 正文01 + 黑色 首行缩进:  2 字符 段前: 0 磅 行距: 1.5 倍行距 + 首行缩进:  2 字符"/>
    <w:basedOn w:val="56"/>
    <w:qFormat/>
    <w:uiPriority w:val="0"/>
    <w:pPr>
      <w:spacing w:line="440" w:lineRule="exact"/>
      <w:ind w:firstLine="200"/>
    </w:pPr>
    <w:rPr>
      <w:rFonts w:eastAsia="宋体"/>
      <w:bCs/>
    </w:rPr>
  </w:style>
  <w:style w:type="paragraph" w:customStyle="1" w:styleId="56">
    <w:name w:val="样式 正文（首行缩进两字） + (中文) 仿宋_GB2312 小四 行距: 1.5 倍行距"/>
    <w:basedOn w:val="6"/>
    <w:qFormat/>
    <w:uiPriority w:val="0"/>
    <w:pPr>
      <w:adjustRightInd/>
      <w:spacing w:line="360" w:lineRule="auto"/>
      <w:ind w:firstLine="480" w:firstLineChars="200"/>
      <w:textAlignment w:val="auto"/>
    </w:pPr>
    <w:rPr>
      <w:rFonts w:eastAsia="仿宋_GB2312"/>
      <w:kern w:val="2"/>
      <w:sz w:val="24"/>
    </w:rPr>
  </w:style>
  <w:style w:type="paragraph" w:customStyle="1" w:styleId="57">
    <w:name w:val="表格内容2"/>
    <w:basedOn w:val="1"/>
    <w:qFormat/>
    <w:uiPriority w:val="1"/>
    <w:pPr>
      <w:spacing w:line="360" w:lineRule="exact"/>
      <w:ind w:firstLine="0" w:firstLineChars="0"/>
      <w:jc w:val="center"/>
    </w:pPr>
    <w:rPr>
      <w:rFonts w:ascii="Times New Roman" w:hAnsi="Times New Roman" w:eastAsia="宋体" w:cs="Times New Roman"/>
      <w:kern w:val="2"/>
      <w:sz w:val="21"/>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emf"/><Relationship Id="rId17" Type="http://schemas.openxmlformats.org/officeDocument/2006/relationships/oleObject" Target="embeddings/oleObject2.bin"/><Relationship Id="rId16" Type="http://schemas.openxmlformats.org/officeDocument/2006/relationships/image" Target="media/image5.e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8252</Words>
  <Characters>8750</Characters>
  <Lines>0</Lines>
  <Paragraphs>0</Paragraphs>
  <TotalTime>41</TotalTime>
  <ScaleCrop>false</ScaleCrop>
  <LinksUpToDate>false</LinksUpToDate>
  <CharactersWithSpaces>8798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2022-09-21T07:31:00Z</dcterms:created>
  <dc:creator>Administrator</dc:creator>
  <cp:lastModifiedBy>默者</cp:lastModifiedBy>
  <cp:lastPrinted>2023-05-08T09:14:00Z</cp:lastPrinted>
  <dcterms:modified xsi:type="dcterms:W3CDTF">2024-11-13T09:39:04Z</dcterms:modified>
  <dc:title>_x0001__x0001_</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0720F6C1AD0849B0BD63F17274B5F91F_13</vt:lpwstr>
  </property>
</Properties>
</file>